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E3338" w14:textId="04624602" w:rsidR="00312F33" w:rsidRPr="00332E0C" w:rsidRDefault="00312F33" w:rsidP="00731FAD">
      <w:pPr>
        <w:spacing w:after="240"/>
        <w:jc w:val="center"/>
        <w:rPr>
          <w:rFonts w:asciiTheme="majorBidi" w:hAnsiTheme="majorBidi" w:cstheme="majorBidi"/>
          <w:b/>
          <w:bCs/>
          <w:color w:val="000000"/>
          <w:sz w:val="28"/>
          <w:szCs w:val="28"/>
          <w14:textFill>
            <w14:solidFill>
              <w14:srgbClr w14:val="000000">
                <w14:alpha w14:val="2000"/>
              </w14:srgbClr>
            </w14:solidFill>
          </w14:textFill>
        </w:rPr>
      </w:pPr>
      <w:r w:rsidRPr="00332E0C">
        <w:rPr>
          <w:rFonts w:asciiTheme="majorBidi" w:hAnsiTheme="majorBidi" w:cstheme="majorBidi"/>
          <w:b/>
          <w:bCs/>
          <w:color w:val="000000"/>
          <w:sz w:val="28"/>
          <w:szCs w:val="28"/>
          <w14:textFill>
            <w14:solidFill>
              <w14:srgbClr w14:val="000000">
                <w14:alpha w14:val="2000"/>
              </w14:srgbClr>
            </w14:solidFill>
          </w14:textFill>
        </w:rPr>
        <w:t xml:space="preserve">A Comparative Study of YOLO Architectures with </w:t>
      </w:r>
      <w:r w:rsidR="00524713" w:rsidRPr="00332E0C">
        <w:rPr>
          <w:rFonts w:asciiTheme="majorBidi" w:hAnsiTheme="majorBidi" w:cstheme="majorBidi"/>
          <w:b/>
          <w:bCs/>
          <w:color w:val="000000"/>
          <w:sz w:val="28"/>
          <w:szCs w:val="28"/>
          <w14:textFill>
            <w14:solidFill>
              <w14:srgbClr w14:val="000000">
                <w14:alpha w14:val="2000"/>
              </w14:srgbClr>
            </w14:solidFill>
          </w14:textFill>
        </w:rPr>
        <w:t>AI-Based</w:t>
      </w:r>
      <w:r w:rsidRPr="00332E0C">
        <w:rPr>
          <w:rFonts w:asciiTheme="majorBidi" w:hAnsiTheme="majorBidi" w:cstheme="majorBidi"/>
          <w:b/>
          <w:bCs/>
          <w:color w:val="000000"/>
          <w:sz w:val="28"/>
          <w:szCs w:val="28"/>
          <w14:textFill>
            <w14:solidFill>
              <w14:srgbClr w14:val="000000">
                <w14:alpha w14:val="2000"/>
              </w14:srgbClr>
            </w14:solidFill>
          </w14:textFill>
        </w:rPr>
        <w:t xml:space="preserve"> Data Augmentation for Automated Platelet Estimation in Thrombocytopenic Patients</w:t>
      </w:r>
    </w:p>
    <w:p w14:paraId="388ABA00" w14:textId="77777777" w:rsidR="00CC6B2C" w:rsidRPr="00731FAD" w:rsidRDefault="00CC6B2C" w:rsidP="00CC6B2C">
      <w:pPr>
        <w:spacing w:after="0"/>
        <w:jc w:val="center"/>
        <w:rPr>
          <w:rFonts w:asciiTheme="majorBidi" w:hAnsiTheme="majorBidi" w:cstheme="majorBidi"/>
          <w:sz w:val="24"/>
          <w:szCs w:val="24"/>
          <w:lang w:bidi="ar-IQ"/>
        </w:rPr>
      </w:pPr>
      <w:proofErr w:type="spellStart"/>
      <w:r w:rsidRPr="00731FAD">
        <w:rPr>
          <w:rFonts w:asciiTheme="majorBidi" w:hAnsiTheme="majorBidi" w:cstheme="majorBidi"/>
          <w:sz w:val="24"/>
          <w:szCs w:val="24"/>
          <w:lang w:bidi="ar-IQ"/>
        </w:rPr>
        <w:t>Rasha</w:t>
      </w:r>
      <w:proofErr w:type="spellEnd"/>
      <w:r w:rsidRPr="00731FAD">
        <w:rPr>
          <w:rFonts w:asciiTheme="majorBidi" w:hAnsiTheme="majorBidi" w:cstheme="majorBidi"/>
          <w:sz w:val="24"/>
          <w:szCs w:val="24"/>
          <w:lang w:bidi="ar-IQ"/>
        </w:rPr>
        <w:t xml:space="preserve"> Farhan </w:t>
      </w:r>
      <w:proofErr w:type="spellStart"/>
      <w:r w:rsidRPr="00731FAD">
        <w:rPr>
          <w:rFonts w:asciiTheme="majorBidi" w:hAnsiTheme="majorBidi" w:cstheme="majorBidi"/>
          <w:sz w:val="24"/>
          <w:szCs w:val="24"/>
          <w:lang w:bidi="ar-IQ"/>
        </w:rPr>
        <w:t>Razooqy</w:t>
      </w:r>
      <w:proofErr w:type="spellEnd"/>
    </w:p>
    <w:p w14:paraId="3D0E5942" w14:textId="77777777" w:rsidR="00CC6B2C" w:rsidRPr="00695A15" w:rsidRDefault="00CC6B2C" w:rsidP="00CC6B2C">
      <w:pPr>
        <w:spacing w:after="0"/>
        <w:jc w:val="center"/>
        <w:rPr>
          <w:rFonts w:asciiTheme="majorBidi" w:hAnsiTheme="majorBidi" w:cstheme="majorBidi"/>
          <w:sz w:val="20"/>
          <w:szCs w:val="20"/>
          <w:lang w:bidi="ar-IQ"/>
        </w:rPr>
      </w:pPr>
      <w:r w:rsidRPr="00695A15">
        <w:rPr>
          <w:rFonts w:asciiTheme="majorBidi" w:hAnsiTheme="majorBidi" w:cstheme="majorBidi"/>
          <w:sz w:val="20"/>
          <w:szCs w:val="20"/>
          <w:lang w:bidi="ar-IQ"/>
        </w:rPr>
        <w:t>Iraq-Baghdad</w:t>
      </w:r>
    </w:p>
    <w:p w14:paraId="6A8308D9" w14:textId="165FA73C" w:rsidR="00CC6B2C" w:rsidRDefault="00090712" w:rsidP="00CC6B2C">
      <w:pPr>
        <w:spacing w:after="0"/>
        <w:jc w:val="center"/>
        <w:rPr>
          <w:rFonts w:asciiTheme="majorBidi" w:hAnsiTheme="majorBidi" w:cstheme="majorBidi"/>
          <w:sz w:val="20"/>
          <w:szCs w:val="20"/>
          <w:lang w:bidi="ar-IQ"/>
        </w:rPr>
      </w:pPr>
      <w:hyperlink r:id="rId8" w:history="1">
        <w:proofErr w:type="spellStart"/>
        <w:r w:rsidRPr="00076CF4">
          <w:rPr>
            <w:rStyle w:val="Hyperlink"/>
            <w:rFonts w:asciiTheme="majorBidi" w:hAnsiTheme="majorBidi" w:cstheme="majorBidi"/>
            <w:sz w:val="20"/>
            <w:szCs w:val="20"/>
            <w:lang w:bidi="ar-IQ"/>
          </w:rPr>
          <w:t>rasha3@gmail.com</w:t>
        </w:r>
        <w:proofErr w:type="spellEnd"/>
      </w:hyperlink>
    </w:p>
    <w:p w14:paraId="65F9DE66" w14:textId="77777777" w:rsidR="00090712" w:rsidRPr="00695A15" w:rsidRDefault="00090712" w:rsidP="00CC6B2C">
      <w:pPr>
        <w:spacing w:after="0"/>
        <w:jc w:val="center"/>
        <w:rPr>
          <w:rFonts w:asciiTheme="majorBidi" w:hAnsiTheme="majorBidi" w:cstheme="majorBidi"/>
          <w:b/>
          <w:bCs/>
          <w:sz w:val="20"/>
          <w:szCs w:val="20"/>
        </w:rPr>
      </w:pPr>
    </w:p>
    <w:p w14:paraId="7EB04A73" w14:textId="2C7EED04" w:rsidR="00695A15" w:rsidRPr="00090712" w:rsidRDefault="00090712" w:rsidP="00090712">
      <w:pPr>
        <w:jc w:val="right"/>
        <w:rPr>
          <w:rStyle w:val="Hyperlink"/>
          <w:rFonts w:asciiTheme="majorBidi" w:hAnsiTheme="majorBidi" w:cstheme="majorBidi"/>
          <w:sz w:val="24"/>
          <w:szCs w:val="24"/>
        </w:rPr>
      </w:pPr>
      <w:hyperlink r:id="rId9" w:history="1">
        <w:r w:rsidRPr="00090712">
          <w:rPr>
            <w:rStyle w:val="Hyperlink"/>
            <w:rFonts w:asciiTheme="majorBidi" w:hAnsiTheme="majorBidi" w:cstheme="majorBidi"/>
            <w:sz w:val="24"/>
            <w:szCs w:val="24"/>
            <w:lang w:bidi="ar-IQ"/>
          </w:rPr>
          <w:t>https://</w:t>
        </w:r>
        <w:proofErr w:type="spellStart"/>
        <w:r w:rsidRPr="00090712">
          <w:rPr>
            <w:rStyle w:val="Hyperlink"/>
            <w:rFonts w:asciiTheme="majorBidi" w:hAnsiTheme="majorBidi" w:cstheme="majorBidi"/>
            <w:sz w:val="24"/>
            <w:szCs w:val="24"/>
            <w:lang w:bidi="ar-IQ"/>
          </w:rPr>
          <w:t>doi.org</w:t>
        </w:r>
        <w:proofErr w:type="spellEnd"/>
        <w:r w:rsidRPr="00090712">
          <w:rPr>
            <w:rStyle w:val="Hyperlink"/>
            <w:rFonts w:asciiTheme="majorBidi" w:hAnsiTheme="majorBidi" w:cstheme="majorBidi"/>
            <w:sz w:val="24"/>
            <w:szCs w:val="24"/>
            <w:lang w:bidi="ar-IQ"/>
          </w:rPr>
          <w:t>/10.46649/</w:t>
        </w:r>
        <w:proofErr w:type="spellStart"/>
        <w:r w:rsidRPr="00090712">
          <w:rPr>
            <w:rStyle w:val="Hyperlink"/>
            <w:rFonts w:asciiTheme="majorBidi" w:hAnsiTheme="majorBidi" w:cstheme="majorBidi"/>
            <w:sz w:val="24"/>
            <w:szCs w:val="24"/>
            <w:lang w:bidi="ar-IQ"/>
          </w:rPr>
          <w:t>fjiece.v4.2.18a.26.9.2025</w:t>
        </w:r>
        <w:proofErr w:type="spellEnd"/>
      </w:hyperlink>
    </w:p>
    <w:p w14:paraId="4C251B82" w14:textId="77777777" w:rsidR="00695A15" w:rsidRPr="006D50F1" w:rsidRDefault="00695A15" w:rsidP="00695A15">
      <w:pPr>
        <w:pBdr>
          <w:bottom w:val="single" w:sz="4" w:space="1" w:color="auto"/>
        </w:pBdr>
        <w:rPr>
          <w:sz w:val="20"/>
        </w:rPr>
      </w:pPr>
    </w:p>
    <w:p w14:paraId="3782744F" w14:textId="4CFB43F1" w:rsidR="00312F33" w:rsidRPr="00332E0C" w:rsidRDefault="00731FAD" w:rsidP="00731FAD">
      <w:pPr>
        <w:spacing w:after="0"/>
        <w:jc w:val="both"/>
        <w:rPr>
          <w:rFonts w:asciiTheme="majorBidi" w:hAnsiTheme="majorBidi" w:cstheme="majorBidi"/>
          <w:i/>
          <w:iCs/>
          <w:color w:val="000000"/>
          <w:sz w:val="24"/>
          <w:szCs w:val="24"/>
          <w:rtl/>
          <w:lang w:bidi="ar-IQ"/>
          <w14:textFill>
            <w14:solidFill>
              <w14:srgbClr w14:val="000000">
                <w14:alpha w14:val="2000"/>
              </w14:srgbClr>
            </w14:solidFill>
          </w14:textFill>
        </w:rPr>
      </w:pPr>
      <w:r w:rsidRPr="00332E0C">
        <w:rPr>
          <w:rFonts w:asciiTheme="majorBidi" w:hAnsiTheme="majorBidi" w:cstheme="majorBidi"/>
          <w:b/>
          <w:bCs/>
          <w:i/>
          <w:iCs/>
          <w:color w:val="000000"/>
          <w:sz w:val="24"/>
          <w:szCs w:val="24"/>
          <w14:textFill>
            <w14:solidFill>
              <w14:srgbClr w14:val="000000">
                <w14:alpha w14:val="2000"/>
              </w14:srgbClr>
            </w14:solidFill>
          </w14:textFill>
        </w:rPr>
        <w:t xml:space="preserve">           </w:t>
      </w:r>
      <w:r w:rsidR="00312F33" w:rsidRPr="00332E0C">
        <w:rPr>
          <w:rFonts w:asciiTheme="majorBidi" w:hAnsiTheme="majorBidi" w:cstheme="majorBidi"/>
          <w:b/>
          <w:bCs/>
          <w:i/>
          <w:iCs/>
          <w:color w:val="000000"/>
          <w:sz w:val="24"/>
          <w:szCs w:val="24"/>
          <w14:textFill>
            <w14:solidFill>
              <w14:srgbClr w14:val="000000">
                <w14:alpha w14:val="2000"/>
              </w14:srgbClr>
            </w14:solidFill>
          </w14:textFill>
        </w:rPr>
        <w:t>Abstract</w:t>
      </w:r>
      <w:r w:rsidRPr="00332E0C">
        <w:rPr>
          <w:rFonts w:asciiTheme="majorBidi" w:hAnsiTheme="majorBidi" w:cstheme="majorBidi"/>
          <w:i/>
          <w:iCs/>
          <w:color w:val="000000"/>
          <w:sz w:val="24"/>
          <w:szCs w:val="24"/>
          <w14:textFill>
            <w14:solidFill>
              <w14:srgbClr w14:val="000000">
                <w14:alpha w14:val="2000"/>
              </w14:srgbClr>
            </w14:solidFill>
          </w14:textFill>
        </w:rPr>
        <w:t xml:space="preserve">. </w:t>
      </w:r>
      <w:r w:rsidR="00312F33" w:rsidRPr="00332E0C">
        <w:rPr>
          <w:rFonts w:asciiTheme="majorBidi" w:hAnsiTheme="majorBidi" w:cstheme="majorBidi"/>
          <w:i/>
          <w:iCs/>
          <w:color w:val="000000"/>
          <w:sz w:val="24"/>
          <w:szCs w:val="24"/>
          <w14:textFill>
            <w14:solidFill>
              <w14:srgbClr w14:val="000000">
                <w14:alpha w14:val="2000"/>
              </w14:srgbClr>
            </w14:solidFill>
          </w14:textFill>
        </w:rPr>
        <w:t xml:space="preserve">Thrombocytopenia, a hematological disorder characterized by an abnormally low platelet count, demands diagnostic methods that are both rapid and precise. Conventional manual estimation of platelets from blood smears is notoriously labor-intensive and suffers from significant inter-observer variability. This study presents a systematic comparison of various YOLO object detection architectures, enhanced by advanced AI-based data augmentation, for the automated quantification of platelets in thrombocytopenic patients. We evaluated </w:t>
      </w:r>
      <w:proofErr w:type="spellStart"/>
      <w:r w:rsidR="00312F33" w:rsidRPr="00332E0C">
        <w:rPr>
          <w:rFonts w:asciiTheme="majorBidi" w:hAnsiTheme="majorBidi" w:cstheme="majorBidi"/>
          <w:i/>
          <w:iCs/>
          <w:color w:val="000000"/>
          <w:sz w:val="24"/>
          <w:szCs w:val="24"/>
          <w14:textFill>
            <w14:solidFill>
              <w14:srgbClr w14:val="000000">
                <w14:alpha w14:val="2000"/>
              </w14:srgbClr>
            </w14:solidFill>
          </w14:textFill>
        </w:rPr>
        <w:t>YOLOv5</w:t>
      </w:r>
      <w:proofErr w:type="spellEnd"/>
      <w:r w:rsidR="00312F33" w:rsidRPr="00332E0C">
        <w:rPr>
          <w:rFonts w:asciiTheme="majorBidi" w:hAnsiTheme="majorBidi" w:cstheme="majorBidi"/>
          <w:i/>
          <w:iCs/>
          <w:color w:val="000000"/>
          <w:sz w:val="24"/>
          <w:szCs w:val="24"/>
          <w14:textFill>
            <w14:solidFill>
              <w14:srgbClr w14:val="000000">
                <w14:alpha w14:val="2000"/>
              </w14:srgbClr>
            </w14:solidFill>
          </w14:textFill>
        </w:rPr>
        <w:t xml:space="preserve">, </w:t>
      </w:r>
      <w:proofErr w:type="spellStart"/>
      <w:r w:rsidR="00312F33" w:rsidRPr="00332E0C">
        <w:rPr>
          <w:rFonts w:asciiTheme="majorBidi" w:hAnsiTheme="majorBidi" w:cstheme="majorBidi"/>
          <w:i/>
          <w:iCs/>
          <w:color w:val="000000"/>
          <w:sz w:val="24"/>
          <w:szCs w:val="24"/>
          <w14:textFill>
            <w14:solidFill>
              <w14:srgbClr w14:val="000000">
                <w14:alpha w14:val="2000"/>
              </w14:srgbClr>
            </w14:solidFill>
          </w14:textFill>
        </w:rPr>
        <w:t>YOLOv7</w:t>
      </w:r>
      <w:proofErr w:type="spellEnd"/>
      <w:r w:rsidR="00312F33" w:rsidRPr="00332E0C">
        <w:rPr>
          <w:rFonts w:asciiTheme="majorBidi" w:hAnsiTheme="majorBidi" w:cstheme="majorBidi"/>
          <w:i/>
          <w:iCs/>
          <w:color w:val="000000"/>
          <w:sz w:val="24"/>
          <w:szCs w:val="24"/>
          <w14:textFill>
            <w14:solidFill>
              <w14:srgbClr w14:val="000000">
                <w14:alpha w14:val="2000"/>
              </w14:srgbClr>
            </w14:solidFill>
          </w14:textFill>
        </w:rPr>
        <w:t xml:space="preserve">, and </w:t>
      </w:r>
      <w:proofErr w:type="spellStart"/>
      <w:r w:rsidR="00312F33" w:rsidRPr="00332E0C">
        <w:rPr>
          <w:rFonts w:asciiTheme="majorBidi" w:hAnsiTheme="majorBidi" w:cstheme="majorBidi"/>
          <w:i/>
          <w:iCs/>
          <w:color w:val="000000"/>
          <w:sz w:val="24"/>
          <w:szCs w:val="24"/>
          <w14:textFill>
            <w14:solidFill>
              <w14:srgbClr w14:val="000000">
                <w14:alpha w14:val="2000"/>
              </w14:srgbClr>
            </w14:solidFill>
          </w14:textFill>
        </w:rPr>
        <w:t>YOLOv8</w:t>
      </w:r>
      <w:proofErr w:type="spellEnd"/>
      <w:r w:rsidR="00312F33" w:rsidRPr="00332E0C">
        <w:rPr>
          <w:rFonts w:asciiTheme="majorBidi" w:hAnsiTheme="majorBidi" w:cstheme="majorBidi"/>
          <w:i/>
          <w:iCs/>
          <w:color w:val="000000"/>
          <w:sz w:val="24"/>
          <w:szCs w:val="24"/>
          <w14:textFill>
            <w14:solidFill>
              <w14:srgbClr w14:val="000000">
                <w14:alpha w14:val="2000"/>
              </w14:srgbClr>
            </w14:solidFill>
          </w14:textFill>
        </w:rPr>
        <w:t xml:space="preserve"> on a dataset of 1,500 annotated blood smear images from patients with confirmed low platelet counts. To overcome data scarcity, we implemented sophisticated augmentation techniques, including Generative Adversarial Networks (</w:t>
      </w:r>
      <w:proofErr w:type="spellStart"/>
      <w:r w:rsidR="00312F33" w:rsidRPr="00332E0C">
        <w:rPr>
          <w:rFonts w:asciiTheme="majorBidi" w:hAnsiTheme="majorBidi" w:cstheme="majorBidi"/>
          <w:i/>
          <w:iCs/>
          <w:color w:val="000000"/>
          <w:sz w:val="24"/>
          <w:szCs w:val="24"/>
          <w14:textFill>
            <w14:solidFill>
              <w14:srgbClr w14:val="000000">
                <w14:alpha w14:val="2000"/>
              </w14:srgbClr>
            </w14:solidFill>
          </w14:textFill>
        </w:rPr>
        <w:t>GANs</w:t>
      </w:r>
      <w:proofErr w:type="spellEnd"/>
      <w:r w:rsidR="00312F33" w:rsidRPr="00332E0C">
        <w:rPr>
          <w:rFonts w:asciiTheme="majorBidi" w:hAnsiTheme="majorBidi" w:cstheme="majorBidi"/>
          <w:i/>
          <w:iCs/>
          <w:color w:val="000000"/>
          <w:sz w:val="24"/>
          <w:szCs w:val="24"/>
          <w14:textFill>
            <w14:solidFill>
              <w14:srgbClr w14:val="000000">
                <w14:alpha w14:val="2000"/>
              </w14:srgbClr>
            </w14:solidFill>
          </w14:textFill>
        </w:rPr>
        <w:t xml:space="preserve">) and neural style transfer. Our results establish the superior performance of </w:t>
      </w:r>
      <w:proofErr w:type="spellStart"/>
      <w:r w:rsidR="00312F33" w:rsidRPr="00332E0C">
        <w:rPr>
          <w:rFonts w:asciiTheme="majorBidi" w:hAnsiTheme="majorBidi" w:cstheme="majorBidi"/>
          <w:i/>
          <w:iCs/>
          <w:color w:val="000000"/>
          <w:sz w:val="24"/>
          <w:szCs w:val="24"/>
          <w14:textFill>
            <w14:solidFill>
              <w14:srgbClr w14:val="000000">
                <w14:alpha w14:val="2000"/>
              </w14:srgbClr>
            </w14:solidFill>
          </w14:textFill>
        </w:rPr>
        <w:t>YOLOv8</w:t>
      </w:r>
      <w:proofErr w:type="spellEnd"/>
      <w:r w:rsidR="00312F33" w:rsidRPr="00332E0C">
        <w:rPr>
          <w:rFonts w:asciiTheme="majorBidi" w:hAnsiTheme="majorBidi" w:cstheme="majorBidi"/>
          <w:i/>
          <w:iCs/>
          <w:color w:val="000000"/>
          <w:sz w:val="24"/>
          <w:szCs w:val="24"/>
          <w14:textFill>
            <w14:solidFill>
              <w14:srgbClr w14:val="000000">
                <w14:alpha w14:val="2000"/>
              </w14:srgbClr>
            </w14:solidFill>
          </w14:textFill>
        </w:rPr>
        <w:t>, particularly when trained on GAN-generated samples, achieving a mean Average Precision (</w:t>
      </w:r>
      <w:proofErr w:type="spellStart"/>
      <w:r w:rsidR="00312F33" w:rsidRPr="00332E0C">
        <w:rPr>
          <w:rFonts w:asciiTheme="majorBidi" w:hAnsiTheme="majorBidi" w:cstheme="majorBidi"/>
          <w:i/>
          <w:iCs/>
          <w:color w:val="000000"/>
          <w:sz w:val="24"/>
          <w:szCs w:val="24"/>
          <w14:textFill>
            <w14:solidFill>
              <w14:srgbClr w14:val="000000">
                <w14:alpha w14:val="2000"/>
              </w14:srgbClr>
            </w14:solidFill>
          </w14:textFill>
        </w:rPr>
        <w:t>mAP@0.5</w:t>
      </w:r>
      <w:proofErr w:type="spellEnd"/>
      <w:r w:rsidR="00312F33" w:rsidRPr="00332E0C">
        <w:rPr>
          <w:rFonts w:asciiTheme="majorBidi" w:hAnsiTheme="majorBidi" w:cstheme="majorBidi"/>
          <w:i/>
          <w:iCs/>
          <w:color w:val="000000"/>
          <w:sz w:val="24"/>
          <w:szCs w:val="24"/>
          <w14:textFill>
            <w14:solidFill>
              <w14:srgbClr w14:val="000000">
                <w14:alpha w14:val="2000"/>
              </w14:srgbClr>
            </w14:solidFill>
          </w14:textFill>
        </w:rPr>
        <w:t>) of 96.2%, a precision of 97.1%, and a recall of 95.8%. Crucially, the model sustained high accuracy across varying platelet densities and exhibited an almost perfect correlation (r = 0.98) with manual expert counts. This methodology lays the groundwork for a reliable, automated platelet assessment tool with the potential to significantly advance diagnostic and monitoring protocols for thrombocytopenia in clinical practice.</w:t>
      </w:r>
    </w:p>
    <w:p w14:paraId="5EE38760" w14:textId="7521548A" w:rsidR="00731FAD" w:rsidRPr="00332E0C" w:rsidRDefault="00731FAD" w:rsidP="00731FAD">
      <w:pPr>
        <w:spacing w:after="0"/>
        <w:jc w:val="both"/>
        <w:rPr>
          <w:rFonts w:asciiTheme="majorBidi" w:hAnsiTheme="majorBidi" w:cstheme="majorBidi"/>
          <w:i/>
          <w:iCs/>
          <w:color w:val="000000"/>
          <w:sz w:val="24"/>
          <w:szCs w:val="24"/>
          <w:lang w:bidi="ar-IQ"/>
          <w14:textFill>
            <w14:solidFill>
              <w14:srgbClr w14:val="000000">
                <w14:alpha w14:val="2000"/>
              </w14:srgbClr>
            </w14:solidFill>
          </w14:textFill>
        </w:rPr>
      </w:pPr>
      <w:r w:rsidRPr="00332E0C">
        <w:rPr>
          <w:rFonts w:asciiTheme="majorBidi" w:hAnsiTheme="majorBidi" w:cstheme="majorBidi"/>
          <w:b/>
          <w:bCs/>
          <w:i/>
          <w:iCs/>
          <w:color w:val="000000"/>
          <w:sz w:val="24"/>
          <w:szCs w:val="24"/>
          <w14:textFill>
            <w14:solidFill>
              <w14:srgbClr w14:val="000000">
                <w14:alpha w14:val="2000"/>
              </w14:srgbClr>
            </w14:solidFill>
          </w14:textFill>
        </w:rPr>
        <w:t xml:space="preserve">          Keywords: </w:t>
      </w:r>
      <w:r w:rsidRPr="00332E0C">
        <w:rPr>
          <w:rFonts w:asciiTheme="majorBidi" w:hAnsiTheme="majorBidi" w:cstheme="majorBidi"/>
          <w:i/>
          <w:iCs/>
          <w:color w:val="000000"/>
          <w:sz w:val="24"/>
          <w:szCs w:val="24"/>
          <w:lang w:bidi="ar-IQ"/>
          <w14:textFill>
            <w14:solidFill>
              <w14:srgbClr w14:val="000000">
                <w14:alpha w14:val="2000"/>
              </w14:srgbClr>
            </w14:solidFill>
          </w14:textFill>
        </w:rPr>
        <w:t>YOLO Architectures, Platelet Estimation, Thrombocytopenia, Data Augmentation, Deep Learning</w:t>
      </w:r>
    </w:p>
    <w:p w14:paraId="14201324" w14:textId="77777777" w:rsidR="00090712" w:rsidRPr="006D50F1" w:rsidRDefault="00090712" w:rsidP="00090712">
      <w:pPr>
        <w:pBdr>
          <w:bottom w:val="single" w:sz="4" w:space="1" w:color="auto"/>
        </w:pBdr>
        <w:rPr>
          <w:sz w:val="20"/>
        </w:rPr>
      </w:pPr>
    </w:p>
    <w:p w14:paraId="2E9A9195" w14:textId="60DD8878" w:rsidR="00312F33" w:rsidRPr="00332E0C" w:rsidRDefault="00826F9C" w:rsidP="00826F9C">
      <w:pPr>
        <w:pStyle w:val="Int"/>
        <w:rPr>
          <w:color w:val="000000"/>
          <w14:textFill>
            <w14:solidFill>
              <w14:srgbClr w14:val="000000">
                <w14:alpha w14:val="2000"/>
              </w14:srgbClr>
            </w14:solidFill>
          </w14:textFill>
        </w:rPr>
      </w:pPr>
      <w:r w:rsidRPr="00332E0C">
        <w:rPr>
          <w:color w:val="000000"/>
          <w14:textFill>
            <w14:solidFill>
              <w14:srgbClr w14:val="000000">
                <w14:alpha w14:val="2000"/>
              </w14:srgbClr>
            </w14:solidFill>
          </w14:textFill>
        </w:rPr>
        <w:t>INTRODUCTION</w:t>
      </w:r>
    </w:p>
    <w:p w14:paraId="7ACFCB61" w14:textId="77777777" w:rsidR="00312F33" w:rsidRPr="00731FAD" w:rsidRDefault="00312F33" w:rsidP="00731FAD">
      <w:pPr>
        <w:spacing w:after="0"/>
        <w:jc w:val="both"/>
        <w:rPr>
          <w:rFonts w:asciiTheme="majorBidi" w:hAnsiTheme="majorBidi" w:cstheme="majorBidi"/>
          <w:sz w:val="24"/>
          <w:szCs w:val="24"/>
        </w:rPr>
      </w:pPr>
    </w:p>
    <w:p w14:paraId="3AF3CDF3" w14:textId="049E65DE"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t>Thrombocytopenia The clinical criterion for the diagnosis of thrombocytopenia is when platelet count plummeted to less than 150,000/µL and has posed a great challenge in hematological diseases. It carries a constant risk of spontaneous bleeding and petechiae, as well as severe, life-threatening hemorrhage. Current diagnostic procedures for platelet counting are based on a combined determination, which is automatically applied by hematology analyzers and manually checked after microscopic evaluation of peripheral blood smears. Results: The automated systems provided rapid results, but these were confirmed by manual microscopic in the majority of cases. This verification is particularly required when the preliminary test indicates that there can possibly be discrepancies or hindering agents.</w:t>
      </w:r>
    </w:p>
    <w:p w14:paraId="036D00C3" w14:textId="7E75B49A"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lastRenderedPageBreak/>
        <w:t xml:space="preserve">The current reference method for platelet count is, however, the microscopic reading and this test is manual. This method, however, brings about the following disadvantages. It is essentially </w:t>
      </w:r>
      <w:proofErr w:type="spellStart"/>
      <w:r w:rsidRPr="00332E0C">
        <w:rPr>
          <w:rFonts w:asciiTheme="majorBidi" w:hAnsiTheme="majorBidi" w:cstheme="majorBidi"/>
          <w:sz w:val="24"/>
          <w:szCs w:val="24"/>
        </w:rPr>
        <w:t>labour-intensive</w:t>
      </w:r>
      <w:proofErr w:type="spellEnd"/>
      <w:r w:rsidRPr="00332E0C">
        <w:rPr>
          <w:rFonts w:asciiTheme="majorBidi" w:hAnsiTheme="majorBidi" w:cstheme="majorBidi"/>
          <w:sz w:val="24"/>
          <w:szCs w:val="24"/>
        </w:rPr>
        <w:t xml:space="preserve">, time-consuming and requires a technologist with knowledge of scanning many microscopic fields correctly. </w:t>
      </w:r>
      <w:r w:rsidRPr="00B759DD">
        <w:rPr>
          <w:rFonts w:asciiTheme="majorBidi" w:hAnsiTheme="majorBidi" w:cstheme="majorBidi"/>
          <w:color w:val="000000"/>
          <w:sz w:val="24"/>
          <w:szCs w:val="24"/>
          <w14:textFill>
            <w14:solidFill>
              <w14:srgbClr w14:val="000000">
                <w14:alpha w14:val="2000"/>
              </w14:srgbClr>
            </w14:solidFill>
          </w14:textFill>
        </w:rPr>
        <w:t xml:space="preserve">Another drawback is that the method may be influenced by high inter-observer variation. Research has </w:t>
      </w:r>
      <w:r w:rsidRPr="00332E0C">
        <w:rPr>
          <w:rFonts w:asciiTheme="majorBidi" w:hAnsiTheme="majorBidi" w:cstheme="majorBidi"/>
          <w:sz w:val="24"/>
          <w:szCs w:val="24"/>
        </w:rPr>
        <w:t>revealed a mean coefficient of variation between examiners to be 15--25%. This inherent discrepancy can have direct implications in patient management and will lead to conflicting diagnosis and treatment decisions if results are close to clinical decision cut-off points.</w:t>
      </w:r>
    </w:p>
    <w:p w14:paraId="59476FBF" w14:textId="6F5A838D"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t xml:space="preserve">In recent years, dramatic advances on the automatic analysis of medical images have been driven by computer vision and deep learning. As one of the great technological progress has been achieved in recent years, YOLO (You Only Look Once) algorithms for detecting objects can also be both efficient and effective in many other medical imaging applications. But platelet detection has different specifications than bullets in military vehicles and stuffed animals. Their small size (approximately 2–3 </w:t>
      </w:r>
      <w:proofErr w:type="spellStart"/>
      <w:r w:rsidRPr="00332E0C">
        <w:rPr>
          <w:rFonts w:asciiTheme="majorBidi" w:hAnsiTheme="majorBidi" w:cstheme="majorBidi"/>
          <w:sz w:val="24"/>
          <w:szCs w:val="24"/>
        </w:rPr>
        <w:t>μm</w:t>
      </w:r>
      <w:proofErr w:type="spellEnd"/>
      <w:r w:rsidRPr="00332E0C">
        <w:rPr>
          <w:rFonts w:asciiTheme="majorBidi" w:hAnsiTheme="majorBidi" w:cstheme="majorBidi"/>
          <w:sz w:val="24"/>
          <w:szCs w:val="24"/>
        </w:rPr>
        <w:t>), their variability in terms of morphology due to dye intensity or stain thickness, and frequently artefactual coverage by, for example, staining debris or stuffing hamper rapid and automated visual identification.</w:t>
      </w:r>
    </w:p>
    <w:p w14:paraId="4AB7E120" w14:textId="302DFD48"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t>Furthermore, one of the challenges to developing effective medical AI models directly relates to the fact that there are no large-scale fully-annotated datasets. The patient privacy is also enforced with strong restrictions and the expertise demands to classify medical images.</w:t>
      </w:r>
    </w:p>
    <w:p w14:paraId="5BBE472A" w14:textId="47D77846"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t>We used AI-based data Augmentation for that as an option. These procedures artificially enlarge the training base size and variety, by realistic new instances that maintain pertinent biological characteristics of the original data.</w:t>
      </w:r>
    </w:p>
    <w:p w14:paraId="19D08890" w14:textId="2DBD078D" w:rsidR="00312F33" w:rsidRPr="00731FAD" w:rsidRDefault="00332E0C" w:rsidP="00332E0C">
      <w:pPr>
        <w:spacing w:after="0"/>
        <w:jc w:val="both"/>
        <w:rPr>
          <w:rFonts w:asciiTheme="majorBidi" w:hAnsiTheme="majorBidi" w:cstheme="majorBidi"/>
          <w:sz w:val="24"/>
          <w:szCs w:val="24"/>
        </w:rPr>
      </w:pPr>
      <w:r w:rsidRPr="00332E0C">
        <w:rPr>
          <w:rFonts w:asciiTheme="majorBidi" w:hAnsiTheme="majorBidi" w:cstheme="majorBidi"/>
          <w:sz w:val="24"/>
          <w:szCs w:val="24"/>
        </w:rPr>
        <w:t>Here, we designed the current study to overcome these limitations. We perform thorough head-to-head comparison of state-of-art architectures (like YOLO ones) using best-of-class augmentation methods to build a reliable </w:t>
      </w:r>
      <w:proofErr w:type="spellStart"/>
      <w:r w:rsidRPr="00332E0C">
        <w:rPr>
          <w:rFonts w:asciiTheme="majorBidi" w:hAnsiTheme="majorBidi" w:cstheme="majorBidi"/>
          <w:sz w:val="24"/>
          <w:szCs w:val="24"/>
        </w:rPr>
        <w:t>automatised</w:t>
      </w:r>
      <w:proofErr w:type="spellEnd"/>
      <w:r w:rsidRPr="00332E0C">
        <w:rPr>
          <w:rFonts w:asciiTheme="majorBidi" w:hAnsiTheme="majorBidi" w:cstheme="majorBidi"/>
          <w:sz w:val="24"/>
          <w:szCs w:val="24"/>
        </w:rPr>
        <w:t xml:space="preserve"> system for platelets count estimation in patients suffering from thrombocytopenia. The key contributions of our work can be summarized as follows</w:t>
      </w:r>
      <w:r w:rsidR="00312F33" w:rsidRPr="00731FAD">
        <w:rPr>
          <w:rFonts w:asciiTheme="majorBidi" w:hAnsiTheme="majorBidi" w:cstheme="majorBidi"/>
          <w:sz w:val="24"/>
          <w:szCs w:val="24"/>
        </w:rPr>
        <w:t>:</w:t>
      </w:r>
    </w:p>
    <w:p w14:paraId="7013B362" w14:textId="77777777" w:rsidR="00312F33" w:rsidRPr="00332E0C" w:rsidRDefault="00312F33">
      <w:pPr>
        <w:pStyle w:val="ListParagraph"/>
        <w:numPr>
          <w:ilvl w:val="0"/>
          <w:numId w:val="2"/>
        </w:numPr>
        <w:spacing w:after="0"/>
        <w:jc w:val="both"/>
        <w:rPr>
          <w:rFonts w:asciiTheme="majorBidi" w:hAnsiTheme="majorBidi" w:cstheme="majorBidi"/>
          <w:color w:val="000000"/>
          <w:sz w:val="24"/>
          <w:szCs w:val="24"/>
          <w14:textFill>
            <w14:solidFill>
              <w14:srgbClr w14:val="000000">
                <w14:alpha w14:val="2000"/>
              </w14:srgbClr>
            </w14:solidFill>
          </w14:textFill>
        </w:rPr>
      </w:pPr>
      <w:r w:rsidRPr="00332E0C">
        <w:rPr>
          <w:rFonts w:asciiTheme="majorBidi" w:hAnsiTheme="majorBidi" w:cstheme="majorBidi"/>
          <w:color w:val="000000"/>
          <w:sz w:val="24"/>
          <w:szCs w:val="24"/>
          <w14:textFill>
            <w14:solidFill>
              <w14:srgbClr w14:val="000000">
                <w14:alpha w14:val="2000"/>
              </w14:srgbClr>
            </w14:solidFill>
          </w14:textFill>
        </w:rPr>
        <w:t xml:space="preserve">A comprehensive evaluation of </w:t>
      </w:r>
      <w:proofErr w:type="spellStart"/>
      <w:r w:rsidRPr="00332E0C">
        <w:rPr>
          <w:rFonts w:asciiTheme="majorBidi" w:hAnsiTheme="majorBidi" w:cstheme="majorBidi"/>
          <w:color w:val="000000"/>
          <w:sz w:val="24"/>
          <w:szCs w:val="24"/>
          <w14:textFill>
            <w14:solidFill>
              <w14:srgbClr w14:val="000000">
                <w14:alpha w14:val="2000"/>
              </w14:srgbClr>
            </w14:solidFill>
          </w14:textFill>
        </w:rPr>
        <w:t>YOLOv5</w:t>
      </w:r>
      <w:proofErr w:type="spellEnd"/>
      <w:r w:rsidRPr="00332E0C">
        <w:rPr>
          <w:rFonts w:asciiTheme="majorBidi" w:hAnsiTheme="majorBidi" w:cstheme="majorBidi"/>
          <w:color w:val="000000"/>
          <w:sz w:val="24"/>
          <w:szCs w:val="24"/>
          <w14:textFill>
            <w14:solidFill>
              <w14:srgbClr w14:val="000000">
                <w14:alpha w14:val="2000"/>
              </w14:srgbClr>
            </w14:solidFill>
          </w14:textFill>
        </w:rPr>
        <w:t xml:space="preserve">, </w:t>
      </w:r>
      <w:proofErr w:type="spellStart"/>
      <w:r w:rsidRPr="00332E0C">
        <w:rPr>
          <w:rFonts w:asciiTheme="majorBidi" w:hAnsiTheme="majorBidi" w:cstheme="majorBidi"/>
          <w:color w:val="000000"/>
          <w:sz w:val="24"/>
          <w:szCs w:val="24"/>
          <w14:textFill>
            <w14:solidFill>
              <w14:srgbClr w14:val="000000">
                <w14:alpha w14:val="2000"/>
              </w14:srgbClr>
            </w14:solidFill>
          </w14:textFill>
        </w:rPr>
        <w:t>YOLOv7</w:t>
      </w:r>
      <w:proofErr w:type="spellEnd"/>
      <w:r w:rsidRPr="00332E0C">
        <w:rPr>
          <w:rFonts w:asciiTheme="majorBidi" w:hAnsiTheme="majorBidi" w:cstheme="majorBidi"/>
          <w:color w:val="000000"/>
          <w:sz w:val="24"/>
          <w:szCs w:val="24"/>
          <w14:textFill>
            <w14:solidFill>
              <w14:srgbClr w14:val="000000">
                <w14:alpha w14:val="2000"/>
              </w14:srgbClr>
            </w14:solidFill>
          </w14:textFill>
        </w:rPr>
        <w:t xml:space="preserve">, and </w:t>
      </w:r>
      <w:proofErr w:type="spellStart"/>
      <w:r w:rsidRPr="00332E0C">
        <w:rPr>
          <w:rFonts w:asciiTheme="majorBidi" w:hAnsiTheme="majorBidi" w:cstheme="majorBidi"/>
          <w:color w:val="000000"/>
          <w:sz w:val="24"/>
          <w:szCs w:val="24"/>
          <w14:textFill>
            <w14:solidFill>
              <w14:srgbClr w14:val="000000">
                <w14:alpha w14:val="2000"/>
              </w14:srgbClr>
            </w14:solidFill>
          </w14:textFill>
        </w:rPr>
        <w:t>YOLOv8</w:t>
      </w:r>
      <w:proofErr w:type="spellEnd"/>
      <w:r w:rsidRPr="00332E0C">
        <w:rPr>
          <w:rFonts w:asciiTheme="majorBidi" w:hAnsiTheme="majorBidi" w:cstheme="majorBidi"/>
          <w:color w:val="000000"/>
          <w:sz w:val="24"/>
          <w:szCs w:val="24"/>
          <w14:textFill>
            <w14:solidFill>
              <w14:srgbClr w14:val="000000">
                <w14:alpha w14:val="2000"/>
              </w14:srgbClr>
            </w14:solidFill>
          </w14:textFill>
        </w:rPr>
        <w:t xml:space="preserve"> for platelet detection.</w:t>
      </w:r>
    </w:p>
    <w:p w14:paraId="3ED5A3D9" w14:textId="77777777" w:rsidR="00312F33" w:rsidRPr="00332E0C" w:rsidRDefault="00312F33">
      <w:pPr>
        <w:pStyle w:val="ListParagraph"/>
        <w:numPr>
          <w:ilvl w:val="0"/>
          <w:numId w:val="2"/>
        </w:numPr>
        <w:spacing w:after="0"/>
        <w:jc w:val="both"/>
        <w:rPr>
          <w:rFonts w:asciiTheme="majorBidi" w:hAnsiTheme="majorBidi" w:cstheme="majorBidi"/>
          <w:color w:val="000000"/>
          <w:sz w:val="24"/>
          <w:szCs w:val="24"/>
          <w14:textFill>
            <w14:solidFill>
              <w14:srgbClr w14:val="000000">
                <w14:alpha w14:val="2000"/>
              </w14:srgbClr>
            </w14:solidFill>
          </w14:textFill>
        </w:rPr>
      </w:pPr>
      <w:r w:rsidRPr="00332E0C">
        <w:rPr>
          <w:rFonts w:asciiTheme="majorBidi" w:hAnsiTheme="majorBidi" w:cstheme="majorBidi"/>
          <w:color w:val="000000"/>
          <w:sz w:val="24"/>
          <w:szCs w:val="24"/>
          <w14:textFill>
            <w14:solidFill>
              <w14:srgbClr w14:val="000000">
                <w14:alpha w14:val="2000"/>
              </w14:srgbClr>
            </w14:solidFill>
          </w14:textFill>
        </w:rPr>
        <w:t>The implementation and assessment of GAN-based and neural style transfer augmentation methods.</w:t>
      </w:r>
    </w:p>
    <w:p w14:paraId="24FB8F61" w14:textId="77777777" w:rsidR="00312F33" w:rsidRPr="00332E0C" w:rsidRDefault="00312F33">
      <w:pPr>
        <w:pStyle w:val="ListParagraph"/>
        <w:numPr>
          <w:ilvl w:val="0"/>
          <w:numId w:val="2"/>
        </w:numPr>
        <w:spacing w:after="0"/>
        <w:jc w:val="both"/>
        <w:rPr>
          <w:rFonts w:asciiTheme="majorBidi" w:hAnsiTheme="majorBidi" w:cstheme="majorBidi"/>
          <w:color w:val="000000"/>
          <w:sz w:val="24"/>
          <w:szCs w:val="24"/>
          <w14:textFill>
            <w14:solidFill>
              <w14:srgbClr w14:val="000000">
                <w14:alpha w14:val="2000"/>
              </w14:srgbClr>
            </w14:solidFill>
          </w14:textFill>
        </w:rPr>
      </w:pPr>
      <w:r w:rsidRPr="00332E0C">
        <w:rPr>
          <w:rFonts w:asciiTheme="majorBidi" w:hAnsiTheme="majorBidi" w:cstheme="majorBidi"/>
          <w:color w:val="000000"/>
          <w:sz w:val="24"/>
          <w:szCs w:val="24"/>
          <w14:textFill>
            <w14:solidFill>
              <w14:srgbClr w14:val="000000">
                <w14:alpha w14:val="2000"/>
              </w14:srgbClr>
            </w14:solidFill>
          </w14:textFill>
        </w:rPr>
        <w:t>An analysis of model performance across different platelet density ranges.</w:t>
      </w:r>
    </w:p>
    <w:p w14:paraId="61B84405" w14:textId="77777777" w:rsidR="00312F33" w:rsidRPr="00332E0C" w:rsidRDefault="00312F33">
      <w:pPr>
        <w:pStyle w:val="ListParagraph"/>
        <w:numPr>
          <w:ilvl w:val="0"/>
          <w:numId w:val="2"/>
        </w:numPr>
        <w:spacing w:after="0"/>
        <w:jc w:val="both"/>
        <w:rPr>
          <w:rFonts w:asciiTheme="majorBidi" w:hAnsiTheme="majorBidi" w:cstheme="majorBidi"/>
          <w:color w:val="000000"/>
          <w:sz w:val="24"/>
          <w:szCs w:val="24"/>
          <w14:textFill>
            <w14:solidFill>
              <w14:srgbClr w14:val="000000">
                <w14:alpha w14:val="2000"/>
              </w14:srgbClr>
            </w14:solidFill>
          </w14:textFill>
        </w:rPr>
      </w:pPr>
      <w:r w:rsidRPr="00332E0C">
        <w:rPr>
          <w:rFonts w:asciiTheme="majorBidi" w:hAnsiTheme="majorBidi" w:cstheme="majorBidi"/>
          <w:color w:val="000000"/>
          <w:sz w:val="24"/>
          <w:szCs w:val="24"/>
          <w14:textFill>
            <w14:solidFill>
              <w14:srgbClr w14:val="000000">
                <w14:alpha w14:val="2000"/>
              </w14:srgbClr>
            </w14:solidFill>
          </w14:textFill>
        </w:rPr>
        <w:t>Validation against both manual counts and automated hematology analyzer results.</w:t>
      </w:r>
    </w:p>
    <w:p w14:paraId="75164E1A" w14:textId="77777777" w:rsidR="00312F33" w:rsidRPr="00332E0C" w:rsidRDefault="00312F33">
      <w:pPr>
        <w:pStyle w:val="ListParagraph"/>
        <w:numPr>
          <w:ilvl w:val="0"/>
          <w:numId w:val="2"/>
        </w:numPr>
        <w:spacing w:after="0"/>
        <w:jc w:val="both"/>
        <w:rPr>
          <w:rFonts w:asciiTheme="majorBidi" w:hAnsiTheme="majorBidi" w:cstheme="majorBidi"/>
          <w:color w:val="000000"/>
          <w:sz w:val="24"/>
          <w:szCs w:val="24"/>
          <w14:textFill>
            <w14:solidFill>
              <w14:srgbClr w14:val="000000">
                <w14:alpha w14:val="2000"/>
              </w14:srgbClr>
            </w14:solidFill>
          </w14:textFill>
        </w:rPr>
      </w:pPr>
      <w:r w:rsidRPr="00332E0C">
        <w:rPr>
          <w:rFonts w:asciiTheme="majorBidi" w:hAnsiTheme="majorBidi" w:cstheme="majorBidi"/>
          <w:color w:val="000000"/>
          <w:sz w:val="24"/>
          <w:szCs w:val="24"/>
          <w14:textFill>
            <w14:solidFill>
              <w14:srgbClr w14:val="000000">
                <w14:alpha w14:val="2000"/>
              </w14:srgbClr>
            </w14:solidFill>
          </w14:textFill>
        </w:rPr>
        <w:t>A discussion of the considerations for clinical implementation in thrombocytopenia diagnosis.</w:t>
      </w:r>
    </w:p>
    <w:p w14:paraId="73BF36ED" w14:textId="77777777" w:rsidR="00312F33" w:rsidRPr="00332E0C" w:rsidRDefault="00312F33" w:rsidP="00731FAD">
      <w:pPr>
        <w:spacing w:after="0"/>
        <w:jc w:val="both"/>
        <w:rPr>
          <w:rFonts w:asciiTheme="majorBidi" w:hAnsiTheme="majorBidi" w:cstheme="majorBidi"/>
          <w:color w:val="000000"/>
          <w:sz w:val="24"/>
          <w:szCs w:val="24"/>
          <w14:textFill>
            <w14:solidFill>
              <w14:srgbClr w14:val="000000">
                <w14:alpha w14:val="2000"/>
              </w14:srgbClr>
            </w14:solidFill>
          </w14:textFill>
        </w:rPr>
      </w:pPr>
    </w:p>
    <w:p w14:paraId="0189E12D" w14:textId="6A03F133" w:rsidR="00312F33" w:rsidRPr="00332E0C" w:rsidRDefault="00826F9C" w:rsidP="00826F9C">
      <w:pPr>
        <w:pStyle w:val="Int"/>
        <w:rPr>
          <w:color w:val="000000"/>
          <w14:textFill>
            <w14:solidFill>
              <w14:srgbClr w14:val="000000">
                <w14:alpha w14:val="2000"/>
              </w14:srgbClr>
            </w14:solidFill>
          </w14:textFill>
        </w:rPr>
      </w:pPr>
      <w:r w:rsidRPr="00332E0C">
        <w:rPr>
          <w:color w:val="000000"/>
          <w14:textFill>
            <w14:solidFill>
              <w14:srgbClr w14:val="000000">
                <w14:alpha w14:val="2000"/>
              </w14:srgbClr>
            </w14:solidFill>
          </w14:textFill>
        </w:rPr>
        <w:t>LITERATURE REVIEW</w:t>
      </w:r>
    </w:p>
    <w:p w14:paraId="219038F1" w14:textId="77777777" w:rsidR="00312F33" w:rsidRPr="00731FAD" w:rsidRDefault="00312F33" w:rsidP="00731FAD">
      <w:pPr>
        <w:spacing w:after="0"/>
        <w:jc w:val="both"/>
        <w:rPr>
          <w:rFonts w:asciiTheme="majorBidi" w:hAnsiTheme="majorBidi" w:cstheme="majorBidi"/>
          <w:sz w:val="24"/>
          <w:szCs w:val="24"/>
        </w:rPr>
      </w:pPr>
    </w:p>
    <w:p w14:paraId="31FE19ED" w14:textId="29139C67"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t xml:space="preserve">Indeed, from our hematology survey it is readily apparent the evolution in traditional platelet counting techniques with manual hemocytometer counts to the contemporary existences of automated hematology analysis. But hand counting – what is now considered the gold standard – remains highly constrained. The inter-assay CV may be even higher with serious thrombocytopenia where the distribution of (platelets) is very wide, as observed by Harrison et al. As to the aforementioned automatic hematology analyzing apparatuses such as, for example, those of manufacturers Sysmex and Beckman Coulter, such automatic hematology </w:t>
      </w:r>
      <w:r w:rsidRPr="00332E0C">
        <w:rPr>
          <w:rFonts w:asciiTheme="majorBidi" w:hAnsiTheme="majorBidi" w:cstheme="majorBidi"/>
          <w:sz w:val="24"/>
          <w:szCs w:val="24"/>
        </w:rPr>
        <w:lastRenderedPageBreak/>
        <w:t xml:space="preserve">analyzers will involve fast platelets counts can be done; </w:t>
      </w:r>
      <w:proofErr w:type="gramStart"/>
      <w:r w:rsidRPr="00332E0C">
        <w:rPr>
          <w:rFonts w:asciiTheme="majorBidi" w:hAnsiTheme="majorBidi" w:cstheme="majorBidi"/>
          <w:sz w:val="24"/>
          <w:szCs w:val="24"/>
        </w:rPr>
        <w:t>however</w:t>
      </w:r>
      <w:proofErr w:type="gramEnd"/>
      <w:r w:rsidRPr="00332E0C">
        <w:rPr>
          <w:rFonts w:asciiTheme="majorBidi" w:hAnsiTheme="majorBidi" w:cstheme="majorBidi"/>
          <w:sz w:val="24"/>
          <w:szCs w:val="24"/>
        </w:rPr>
        <w:t xml:space="preserve"> they still have some other issues in some clinical conditions. </w:t>
      </w:r>
      <w:proofErr w:type="spellStart"/>
      <w:r w:rsidRPr="00332E0C">
        <w:rPr>
          <w:rFonts w:asciiTheme="majorBidi" w:hAnsiTheme="majorBidi" w:cstheme="majorBidi"/>
          <w:sz w:val="24"/>
          <w:szCs w:val="24"/>
        </w:rPr>
        <w:t>StateMachineError</w:t>
      </w:r>
      <w:proofErr w:type="spellEnd"/>
      <w:r w:rsidRPr="00332E0C">
        <w:rPr>
          <w:rFonts w:asciiTheme="majorBidi" w:hAnsiTheme="majorBidi" w:cstheme="majorBidi"/>
          <w:sz w:val="24"/>
          <w:szCs w:val="24"/>
        </w:rPr>
        <w:t>: (</w:t>
      </w:r>
      <w:proofErr w:type="spellStart"/>
      <w:r w:rsidRPr="00332E0C">
        <w:rPr>
          <w:rFonts w:asciiTheme="majorBidi" w:hAnsiTheme="majorBidi" w:cstheme="majorBidi"/>
          <w:sz w:val="24"/>
          <w:szCs w:val="24"/>
        </w:rPr>
        <w:t>Nested_dictionary_</w:t>
      </w:r>
      <w:proofErr w:type="gramStart"/>
      <w:r w:rsidRPr="00332E0C">
        <w:rPr>
          <w:rFonts w:asciiTheme="majorBidi" w:hAnsiTheme="majorBidi" w:cstheme="majorBidi"/>
          <w:sz w:val="24"/>
          <w:szCs w:val="24"/>
        </w:rPr>
        <w:t>layout.SystemTarget</w:t>
      </w:r>
      <w:proofErr w:type="spellEnd"/>
      <w:proofErr w:type="gramEnd"/>
      <w:r w:rsidRPr="00332E0C">
        <w:rPr>
          <w:rFonts w:asciiTheme="majorBidi" w:hAnsiTheme="majorBidi" w:cstheme="majorBidi"/>
          <w:sz w:val="24"/>
          <w:szCs w:val="24"/>
        </w:rPr>
        <w:t xml:space="preserve">, </w:t>
      </w:r>
      <w:proofErr w:type="spellStart"/>
      <w:r w:rsidRPr="00332E0C">
        <w:rPr>
          <w:rFonts w:asciiTheme="majorBidi" w:hAnsiTheme="majorBidi" w:cstheme="majorBidi"/>
          <w:sz w:val="24"/>
          <w:szCs w:val="24"/>
        </w:rPr>
        <w:t>NamedTypes</w:t>
      </w:r>
      <w:proofErr w:type="spellEnd"/>
      <w:r w:rsidRPr="00332E0C">
        <w:rPr>
          <w:rFonts w:asciiTheme="majorBidi" w:hAnsiTheme="majorBidi" w:cstheme="majorBidi"/>
          <w:sz w:val="24"/>
          <w:szCs w:val="24"/>
        </w:rPr>
        <w:t xml:space="preserve">) As listed above by Briggs this table includes pseudo-thrombocytopenia, lie platelets clump in response to is replaced et </w:t>
      </w:r>
      <w:proofErr w:type="spellStart"/>
      <w:r w:rsidRPr="00332E0C">
        <w:rPr>
          <w:rFonts w:asciiTheme="majorBidi" w:hAnsiTheme="majorBidi" w:cstheme="majorBidi"/>
          <w:sz w:val="24"/>
          <w:szCs w:val="24"/>
        </w:rPr>
        <w:t>pcA</w:t>
      </w:r>
      <w:proofErr w:type="spellEnd"/>
      <w:r w:rsidRPr="00332E0C">
        <w:rPr>
          <w:rFonts w:asciiTheme="majorBidi" w:hAnsiTheme="majorBidi" w:cstheme="majorBidi"/>
          <w:sz w:val="24"/>
          <w:szCs w:val="24"/>
        </w:rPr>
        <w:t xml:space="preserve">', giant platelets interference and rand blood microcytic cells. I would be remiss to not mention platelet satellitism at least in this context 1 – another notorious problem for which sub-par diagnostic yields are the rule, with both a traditional and modern vine. Increasingly, new applications of deep learning are gaining a foothold in hematology. Specifically achieved prediction accuracy, due to the tool's fast and easy setup process of conv- nets etc., tools facilitating classification of various blood cells. As an </w:t>
      </w:r>
      <w:proofErr w:type="gramStart"/>
      <w:r w:rsidRPr="00332E0C">
        <w:rPr>
          <w:rFonts w:asciiTheme="majorBidi" w:hAnsiTheme="majorBidi" w:cstheme="majorBidi"/>
          <w:sz w:val="24"/>
          <w:szCs w:val="24"/>
        </w:rPr>
        <w:t>example</w:t>
      </w:r>
      <w:proofErr w:type="gramEnd"/>
      <w:r w:rsidRPr="00332E0C">
        <w:rPr>
          <w:rFonts w:asciiTheme="majorBidi" w:hAnsiTheme="majorBidi" w:cstheme="majorBidi"/>
          <w:sz w:val="24"/>
          <w:szCs w:val="24"/>
        </w:rPr>
        <w:t xml:space="preserve"> here, Li et al. utilized an specific convolutional neural network system on </w:t>
      </w:r>
      <w:proofErr w:type="spellStart"/>
      <w:r w:rsidRPr="00332E0C">
        <w:rPr>
          <w:rFonts w:asciiTheme="majorBidi" w:hAnsiTheme="majorBidi" w:cstheme="majorBidi"/>
          <w:sz w:val="24"/>
          <w:szCs w:val="24"/>
        </w:rPr>
        <w:t>whitic</w:t>
      </w:r>
      <w:proofErr w:type="spellEnd"/>
      <w:r w:rsidRPr="00332E0C">
        <w:rPr>
          <w:rFonts w:asciiTheme="majorBidi" w:hAnsiTheme="majorBidi" w:cstheme="majorBidi"/>
          <w:sz w:val="24"/>
          <w:szCs w:val="24"/>
        </w:rPr>
        <w:t xml:space="preserve"> cells classification with 98.3 % Accuracy and A system proposed by Kumar et al. was also used. fine-tuned on the top of </w:t>
      </w:r>
      <w:proofErr w:type="spellStart"/>
      <w:r w:rsidRPr="00332E0C">
        <w:rPr>
          <w:rFonts w:asciiTheme="majorBidi" w:hAnsiTheme="majorBidi" w:cstheme="majorBidi"/>
          <w:sz w:val="24"/>
          <w:szCs w:val="24"/>
        </w:rPr>
        <w:t>ResNet50</w:t>
      </w:r>
      <w:proofErr w:type="spellEnd"/>
      <w:r w:rsidRPr="00332E0C">
        <w:rPr>
          <w:rFonts w:asciiTheme="majorBidi" w:hAnsiTheme="majorBidi" w:cstheme="majorBidi"/>
          <w:sz w:val="24"/>
          <w:szCs w:val="24"/>
        </w:rPr>
        <w:t xml:space="preserve"> to categorize morphology of RBCs and has achieved an accuracy as high as 96.7%. However, finding platelets in a classical way is still a challenging subject. The size and the appearance of platelet as well is very much variable- this making it difficult for: -Automated systems. Therefore, classical CNN networks based on these models have strong power for classification, but not enough accuracy for detection, and counting of platelets. The latter criterion is even more crucial when such dense visible areas overlap several cell types, which would make an accurate identification and counting excessively complicated.</w:t>
      </w:r>
    </w:p>
    <w:p w14:paraId="27D24685" w14:textId="7063E585"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t xml:space="preserve">Recent advancements in YOLO object sensing family have also been widely used for work on medical images [8]. It has been well-researched with plenty of evidence about its effectiveness. For example, Wang et al. [9] used </w:t>
      </w:r>
      <w:proofErr w:type="spellStart"/>
      <w:r w:rsidRPr="00332E0C">
        <w:rPr>
          <w:rFonts w:asciiTheme="majorBidi" w:hAnsiTheme="majorBidi" w:cstheme="majorBidi"/>
          <w:sz w:val="24"/>
          <w:szCs w:val="24"/>
        </w:rPr>
        <w:t>YOLOv4</w:t>
      </w:r>
      <w:proofErr w:type="spellEnd"/>
      <w:r w:rsidRPr="00332E0C">
        <w:rPr>
          <w:rFonts w:asciiTheme="majorBidi" w:hAnsiTheme="majorBidi" w:cstheme="majorBidi"/>
          <w:sz w:val="24"/>
          <w:szCs w:val="24"/>
        </w:rPr>
        <w:t xml:space="preserve"> for </w:t>
      </w:r>
      <w:proofErr w:type="spellStart"/>
      <w:r w:rsidRPr="00332E0C">
        <w:rPr>
          <w:rFonts w:asciiTheme="majorBidi" w:hAnsiTheme="majorBidi" w:cstheme="majorBidi"/>
          <w:sz w:val="24"/>
          <w:szCs w:val="24"/>
        </w:rPr>
        <w:t>COVID</w:t>
      </w:r>
      <w:proofErr w:type="spellEnd"/>
      <w:r w:rsidRPr="00332E0C">
        <w:rPr>
          <w:rFonts w:asciiTheme="majorBidi" w:hAnsiTheme="majorBidi" w:cstheme="majorBidi"/>
          <w:sz w:val="24"/>
          <w:szCs w:val="24"/>
        </w:rPr>
        <w:t xml:space="preserve">-19 detection in chest X-ray and attained the sensitivity of 96.8%. As for the flexibility profile, that was studied by 18 are also relevant to </w:t>
      </w:r>
      <w:proofErr w:type="spellStart"/>
      <w:r w:rsidRPr="00332E0C">
        <w:rPr>
          <w:rFonts w:asciiTheme="majorBidi" w:hAnsiTheme="majorBidi" w:cstheme="majorBidi"/>
          <w:sz w:val="24"/>
          <w:szCs w:val="24"/>
        </w:rPr>
        <w:t>nanodiscs</w:t>
      </w:r>
      <w:proofErr w:type="spellEnd"/>
      <w:r w:rsidRPr="00332E0C">
        <w:rPr>
          <w:rFonts w:asciiTheme="majorBidi" w:hAnsiTheme="majorBidi" w:cstheme="majorBidi"/>
          <w:sz w:val="24"/>
          <w:szCs w:val="24"/>
        </w:rPr>
        <w:t xml:space="preserve"> Chen et al. [10] considered that the aforementioned </w:t>
      </w:r>
      <w:proofErr w:type="spellStart"/>
      <w:r w:rsidRPr="00332E0C">
        <w:rPr>
          <w:rFonts w:asciiTheme="majorBidi" w:hAnsiTheme="majorBidi" w:cstheme="majorBidi"/>
          <w:sz w:val="24"/>
          <w:szCs w:val="24"/>
        </w:rPr>
        <w:t>YOLOv5</w:t>
      </w:r>
      <w:proofErr w:type="spellEnd"/>
      <w:r w:rsidRPr="00332E0C">
        <w:rPr>
          <w:rFonts w:asciiTheme="majorBidi" w:hAnsiTheme="majorBidi" w:cstheme="majorBidi"/>
          <w:sz w:val="24"/>
          <w:szCs w:val="24"/>
        </w:rPr>
        <w:t xml:space="preserve"> architecture which proved very prospective for cervical cell detection reached an average accuracy (</w:t>
      </w:r>
      <w:proofErr w:type="spellStart"/>
      <w:r w:rsidRPr="00332E0C">
        <w:rPr>
          <w:rFonts w:asciiTheme="majorBidi" w:hAnsiTheme="majorBidi" w:cstheme="majorBidi"/>
          <w:sz w:val="24"/>
          <w:szCs w:val="24"/>
        </w:rPr>
        <w:t>mAP</w:t>
      </w:r>
      <w:proofErr w:type="spellEnd"/>
      <w:r w:rsidRPr="00332E0C">
        <w:rPr>
          <w:rFonts w:asciiTheme="majorBidi" w:hAnsiTheme="majorBidi" w:cstheme="majorBidi"/>
          <w:sz w:val="24"/>
          <w:szCs w:val="24"/>
        </w:rPr>
        <w:t>) of 95.2%.</w:t>
      </w:r>
    </w:p>
    <w:p w14:paraId="0B8A1B36" w14:textId="436911CF"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t xml:space="preserve">To this end, the </w:t>
      </w:r>
      <w:proofErr w:type="spellStart"/>
      <w:r w:rsidRPr="00332E0C">
        <w:rPr>
          <w:rFonts w:asciiTheme="majorBidi" w:hAnsiTheme="majorBidi" w:cstheme="majorBidi"/>
          <w:sz w:val="24"/>
          <w:szCs w:val="24"/>
        </w:rPr>
        <w:t>YOLOs</w:t>
      </w:r>
      <w:proofErr w:type="spellEnd"/>
      <w:r w:rsidRPr="00332E0C">
        <w:rPr>
          <w:rFonts w:asciiTheme="majorBidi" w:hAnsiTheme="majorBidi" w:cstheme="majorBidi"/>
          <w:sz w:val="24"/>
          <w:szCs w:val="24"/>
        </w:rPr>
        <w:t xml:space="preserve"> architecture is still under development and we refer to [ </w:t>
      </w:r>
      <w:proofErr w:type="gramStart"/>
      <w:r w:rsidRPr="00332E0C">
        <w:rPr>
          <w:rFonts w:asciiTheme="majorBidi" w:hAnsiTheme="majorBidi" w:cstheme="majorBidi"/>
          <w:sz w:val="24"/>
          <w:szCs w:val="24"/>
        </w:rPr>
        <w:t>11 ]</w:t>
      </w:r>
      <w:proofErr w:type="gramEnd"/>
      <w:r w:rsidRPr="00332E0C">
        <w:rPr>
          <w:rFonts w:asciiTheme="majorBidi" w:hAnsiTheme="majorBidi" w:cstheme="majorBidi"/>
          <w:sz w:val="24"/>
          <w:szCs w:val="24"/>
        </w:rPr>
        <w:t xml:space="preserve"> for recent architectural updates that are specially apt for medical image analysis. It is worth mentioning </w:t>
      </w:r>
      <w:proofErr w:type="spellStart"/>
      <w:r w:rsidRPr="00332E0C">
        <w:rPr>
          <w:rFonts w:asciiTheme="majorBidi" w:hAnsiTheme="majorBidi" w:cstheme="majorBidi"/>
          <w:sz w:val="24"/>
          <w:szCs w:val="24"/>
        </w:rPr>
        <w:t>YOLOv7</w:t>
      </w:r>
      <w:proofErr w:type="spellEnd"/>
      <w:r w:rsidRPr="00332E0C">
        <w:rPr>
          <w:rFonts w:asciiTheme="majorBidi" w:hAnsiTheme="majorBidi" w:cstheme="majorBidi"/>
          <w:sz w:val="24"/>
          <w:szCs w:val="24"/>
        </w:rPr>
        <w:t xml:space="preserve">, the wide efficient pooling networks and scheduled reprocessing convolution in the network architecture make it become their best helper for feature extraction on small objects. And Anchor-free detection of </w:t>
      </w:r>
      <w:proofErr w:type="spellStart"/>
      <w:r w:rsidRPr="00332E0C">
        <w:rPr>
          <w:rFonts w:asciiTheme="majorBidi" w:hAnsiTheme="majorBidi" w:cstheme="majorBidi"/>
          <w:sz w:val="24"/>
          <w:szCs w:val="24"/>
        </w:rPr>
        <w:t>YOLOv8</w:t>
      </w:r>
      <w:proofErr w:type="spellEnd"/>
      <w:r w:rsidRPr="00332E0C">
        <w:rPr>
          <w:rFonts w:asciiTheme="majorBidi" w:hAnsiTheme="majorBidi" w:cstheme="majorBidi"/>
          <w:sz w:val="24"/>
          <w:szCs w:val="24"/>
        </w:rPr>
        <w:t> can allow localization precision of an irregular complexed shape natural structure (</w:t>
      </w:r>
      <w:proofErr w:type="spellStart"/>
      <w:r w:rsidRPr="00332E0C">
        <w:rPr>
          <w:rFonts w:asciiTheme="majorBidi" w:hAnsiTheme="majorBidi" w:cstheme="majorBidi"/>
          <w:sz w:val="24"/>
          <w:szCs w:val="24"/>
        </w:rPr>
        <w:t>eg.</w:t>
      </w:r>
      <w:proofErr w:type="spellEnd"/>
      <w:r w:rsidRPr="00332E0C">
        <w:rPr>
          <w:rFonts w:asciiTheme="majorBidi" w:hAnsiTheme="majorBidi" w:cstheme="majorBidi"/>
          <w:sz w:val="24"/>
          <w:szCs w:val="24"/>
        </w:rPr>
        <w:t>, the platelets) to higher like.</w:t>
      </w:r>
    </w:p>
    <w:p w14:paraId="344083D2" w14:textId="70488498" w:rsidR="00332E0C" w:rsidRPr="00332E0C" w:rsidRDefault="00332E0C" w:rsidP="00332E0C">
      <w:pPr>
        <w:spacing w:after="0"/>
        <w:jc w:val="both"/>
        <w:rPr>
          <w:rFonts w:asciiTheme="majorBidi" w:hAnsiTheme="majorBidi" w:cstheme="majorBidi"/>
          <w:sz w:val="24"/>
          <w:szCs w:val="24"/>
          <w:rtl/>
          <w:lang w:bidi="ar-IQ"/>
        </w:rPr>
      </w:pPr>
      <w:r w:rsidRPr="00332E0C">
        <w:rPr>
          <w:rFonts w:asciiTheme="majorBidi" w:hAnsiTheme="majorBidi" w:cstheme="majorBidi"/>
          <w:sz w:val="24"/>
          <w:szCs w:val="24"/>
        </w:rPr>
        <w:t>Data augmentation has now become inescapable for medical AI research studies. Although the traditional rotation, scaling, flipping, etc. are popular methods but they are not able to encode domain-specific variations in medical images.</w:t>
      </w:r>
    </w:p>
    <w:p w14:paraId="23D67C64" w14:textId="2A0DD8F2" w:rsidR="00312F33" w:rsidRDefault="00332E0C" w:rsidP="00332E0C">
      <w:pPr>
        <w:spacing w:after="0"/>
        <w:jc w:val="both"/>
        <w:rPr>
          <w:rFonts w:asciiTheme="majorBidi" w:hAnsiTheme="majorBidi" w:cstheme="majorBidi"/>
          <w:sz w:val="24"/>
          <w:szCs w:val="24"/>
        </w:rPr>
      </w:pPr>
      <w:r w:rsidRPr="00332E0C">
        <w:rPr>
          <w:rFonts w:asciiTheme="majorBidi" w:hAnsiTheme="majorBidi" w:cstheme="majorBidi"/>
          <w:sz w:val="24"/>
          <w:szCs w:val="24"/>
        </w:rPr>
        <w:t xml:space="preserve">These methods are in general AI assisted augmentation like </w:t>
      </w:r>
      <w:proofErr w:type="spellStart"/>
      <w:r w:rsidRPr="00332E0C">
        <w:rPr>
          <w:rFonts w:asciiTheme="majorBidi" w:hAnsiTheme="majorBidi" w:cstheme="majorBidi"/>
          <w:sz w:val="24"/>
          <w:szCs w:val="24"/>
        </w:rPr>
        <w:t>GANs</w:t>
      </w:r>
      <w:proofErr w:type="spellEnd"/>
      <w:r w:rsidRPr="00332E0C">
        <w:rPr>
          <w:rFonts w:asciiTheme="majorBidi" w:hAnsiTheme="majorBidi" w:cstheme="majorBidi"/>
          <w:sz w:val="24"/>
          <w:szCs w:val="24"/>
        </w:rPr>
        <w:t xml:space="preserve"> and neural style transfer. </w:t>
      </w:r>
      <w:proofErr w:type="spellStart"/>
      <w:r w:rsidRPr="00332E0C">
        <w:rPr>
          <w:rFonts w:asciiTheme="majorBidi" w:hAnsiTheme="majorBidi" w:cstheme="majorBidi"/>
          <w:sz w:val="24"/>
          <w:szCs w:val="24"/>
        </w:rPr>
        <w:t>Karras</w:t>
      </w:r>
      <w:proofErr w:type="spellEnd"/>
      <w:r w:rsidRPr="00332E0C">
        <w:rPr>
          <w:rFonts w:asciiTheme="majorBidi" w:hAnsiTheme="majorBidi" w:cstheme="majorBidi"/>
          <w:sz w:val="24"/>
          <w:szCs w:val="24"/>
        </w:rPr>
        <w:t xml:space="preserve"> et al. [12] provides very promising results for realistic pathological medical image synthesis. Moreover, </w:t>
      </w:r>
      <w:proofErr w:type="spellStart"/>
      <w:r w:rsidRPr="00332E0C">
        <w:rPr>
          <w:rFonts w:asciiTheme="majorBidi" w:hAnsiTheme="majorBidi" w:cstheme="majorBidi"/>
          <w:sz w:val="24"/>
          <w:szCs w:val="24"/>
        </w:rPr>
        <w:t>CycleGANs</w:t>
      </w:r>
      <w:proofErr w:type="spellEnd"/>
      <w:r w:rsidRPr="00332E0C">
        <w:rPr>
          <w:rFonts w:asciiTheme="majorBidi" w:hAnsiTheme="majorBidi" w:cstheme="majorBidi"/>
          <w:sz w:val="24"/>
          <w:szCs w:val="24"/>
        </w:rPr>
        <w:t xml:space="preserve"> (cycle-consistent </w:t>
      </w:r>
      <w:proofErr w:type="spellStart"/>
      <w:r w:rsidRPr="00332E0C">
        <w:rPr>
          <w:rFonts w:asciiTheme="majorBidi" w:hAnsiTheme="majorBidi" w:cstheme="majorBidi"/>
          <w:sz w:val="24"/>
          <w:szCs w:val="24"/>
        </w:rPr>
        <w:t>GANs</w:t>
      </w:r>
      <w:proofErr w:type="spellEnd"/>
      <w:r w:rsidRPr="00332E0C">
        <w:rPr>
          <w:rFonts w:asciiTheme="majorBidi" w:hAnsiTheme="majorBidi" w:cstheme="majorBidi"/>
          <w:sz w:val="24"/>
          <w:szCs w:val="24"/>
        </w:rPr>
        <w:t xml:space="preserve">) have been successfully used in domain adaption for medical images: Zhu [13] presented its application to liver lesion </w:t>
      </w:r>
      <w:proofErr w:type="gramStart"/>
      <w:r w:rsidRPr="00332E0C">
        <w:rPr>
          <w:rFonts w:asciiTheme="majorBidi" w:hAnsiTheme="majorBidi" w:cstheme="majorBidi"/>
          <w:sz w:val="24"/>
          <w:szCs w:val="24"/>
        </w:rPr>
        <w:t>segmentation.</w:t>
      </w:r>
      <w:r w:rsidR="00312F33" w:rsidRPr="00731FAD">
        <w:rPr>
          <w:rFonts w:asciiTheme="majorBidi" w:hAnsiTheme="majorBidi" w:cstheme="majorBidi"/>
          <w:sz w:val="24"/>
          <w:szCs w:val="24"/>
        </w:rPr>
        <w:t>.</w:t>
      </w:r>
      <w:proofErr w:type="gramEnd"/>
    </w:p>
    <w:p w14:paraId="6233EBA1" w14:textId="027F3E8B" w:rsidR="000E61E9" w:rsidRDefault="000E61E9" w:rsidP="00731FAD">
      <w:pPr>
        <w:spacing w:after="0"/>
        <w:jc w:val="both"/>
        <w:rPr>
          <w:rFonts w:asciiTheme="majorBidi" w:hAnsiTheme="majorBidi" w:cstheme="majorBidi"/>
          <w:sz w:val="24"/>
          <w:szCs w:val="24"/>
        </w:rPr>
      </w:pPr>
    </w:p>
    <w:p w14:paraId="668F0A60" w14:textId="188DE157" w:rsidR="007046A2" w:rsidRDefault="007046A2" w:rsidP="00731FAD">
      <w:pPr>
        <w:spacing w:after="0"/>
        <w:jc w:val="both"/>
        <w:rPr>
          <w:rFonts w:asciiTheme="majorBidi" w:hAnsiTheme="majorBidi" w:cstheme="majorBidi"/>
          <w:sz w:val="24"/>
          <w:szCs w:val="24"/>
        </w:rPr>
      </w:pPr>
    </w:p>
    <w:p w14:paraId="160A96A2" w14:textId="77777777" w:rsidR="007046A2" w:rsidRPr="00731FAD" w:rsidRDefault="007046A2" w:rsidP="00731FAD">
      <w:pPr>
        <w:spacing w:after="0"/>
        <w:jc w:val="both"/>
        <w:rPr>
          <w:rFonts w:asciiTheme="majorBidi" w:hAnsiTheme="majorBidi" w:cstheme="majorBidi"/>
          <w:sz w:val="24"/>
          <w:szCs w:val="24"/>
        </w:rPr>
      </w:pPr>
    </w:p>
    <w:p w14:paraId="766EBDC0" w14:textId="77777777" w:rsidR="00312F33" w:rsidRPr="00731FAD" w:rsidRDefault="00312F33" w:rsidP="00731FAD">
      <w:pPr>
        <w:spacing w:after="0"/>
        <w:jc w:val="both"/>
        <w:rPr>
          <w:rFonts w:asciiTheme="majorBidi" w:hAnsiTheme="majorBidi" w:cstheme="majorBidi"/>
          <w:sz w:val="24"/>
          <w:szCs w:val="24"/>
        </w:rPr>
      </w:pPr>
    </w:p>
    <w:p w14:paraId="11725C26" w14:textId="401A5851" w:rsidR="00312F33" w:rsidRPr="00731FAD" w:rsidRDefault="00826F9C" w:rsidP="00826F9C">
      <w:pPr>
        <w:pStyle w:val="Int"/>
      </w:pPr>
      <w:r w:rsidRPr="00731FAD">
        <w:lastRenderedPageBreak/>
        <w:t xml:space="preserve"> METHODOLOGY</w:t>
      </w:r>
    </w:p>
    <w:p w14:paraId="1938E762" w14:textId="77777777" w:rsidR="00826F9C" w:rsidRPr="00F84376" w:rsidRDefault="00826F9C"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7199FBE5" w14:textId="77777777" w:rsidR="00312F33" w:rsidRPr="00F84376" w:rsidRDefault="00312F33" w:rsidP="00826F9C">
      <w:pPr>
        <w:pStyle w:val="22222"/>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t xml:space="preserve">3.1 Dataset Collection and Preparation </w:t>
      </w:r>
    </w:p>
    <w:p w14:paraId="1EC006AA" w14:textId="70C872D8" w:rsidR="00312F33" w:rsidRPr="00F84376" w:rsidRDefault="00312F33" w:rsidP="00EB0E97">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Ethical Considerations and Multi-Center Approach</w:t>
      </w:r>
      <w:r w:rsidR="00EB0E97" w:rsidRPr="00F84376">
        <w:rPr>
          <w:rFonts w:asciiTheme="majorBidi" w:hAnsiTheme="majorBidi" w:cstheme="majorBidi"/>
          <w:color w:val="000000"/>
          <w:sz w:val="24"/>
          <w:szCs w:val="24"/>
          <w14:textFill>
            <w14:solidFill>
              <w14:srgbClr w14:val="000000">
                <w14:alpha w14:val="3000"/>
              </w14:srgbClr>
            </w14:solidFill>
          </w14:textFill>
        </w:rPr>
        <w:t xml:space="preserve">. </w:t>
      </w:r>
      <w:r w:rsidRPr="00F84376">
        <w:rPr>
          <w:rFonts w:asciiTheme="majorBidi" w:hAnsiTheme="majorBidi" w:cstheme="majorBidi"/>
          <w:color w:val="000000"/>
          <w:sz w:val="24"/>
          <w:szCs w:val="24"/>
          <w14:textFill>
            <w14:solidFill>
              <w14:srgbClr w14:val="000000">
                <w14:alpha w14:val="3000"/>
              </w14:srgbClr>
            </w14:solidFill>
          </w14:textFill>
        </w:rPr>
        <w:t>This study was conducted in accordance with the Declaration of Helsinki and received approval from the Institutional Review Board (IRB) of the University Medical Center (Reference: IRB-2023-HEM-045). We obtained written informed consent from all participants and anonymized all data following HIPAA guidelines.</w:t>
      </w:r>
    </w:p>
    <w:p w14:paraId="47CC79CE"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To ensure diversity and representativeness, we strategically collected the dataset from three major medical centers:</w:t>
      </w:r>
    </w:p>
    <w:p w14:paraId="0A69A9B5"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Center A: University Teaching Hospital (600 images)</w:t>
      </w:r>
    </w:p>
    <w:p w14:paraId="12A03E60"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Center B: Regional Hematology Center (500 images)</w:t>
      </w:r>
    </w:p>
    <w:p w14:paraId="2885B681" w14:textId="70295EA2" w:rsidR="00312F33" w:rsidRPr="00F84376" w:rsidRDefault="00312F33" w:rsidP="00731FAD">
      <w:pPr>
        <w:spacing w:after="0"/>
        <w:jc w:val="both"/>
        <w:rPr>
          <w:rFonts w:asciiTheme="majorBidi" w:hAnsiTheme="majorBidi" w:cstheme="majorBidi"/>
          <w:color w:val="000000"/>
          <w:sz w:val="24"/>
          <w:szCs w:val="24"/>
          <w:lang w:bidi="ar-EG"/>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Center C: Community Hospital Network (400 images)</w:t>
      </w:r>
      <w:r w:rsidR="00CC3657">
        <w:rPr>
          <w:rFonts w:asciiTheme="majorBidi" w:hAnsiTheme="majorBidi" w:cstheme="majorBidi"/>
          <w:color w:val="000000"/>
          <w:sz w:val="24"/>
          <w:szCs w:val="24"/>
          <w:lang w:bidi="ar-EG"/>
          <w14:textFill>
            <w14:solidFill>
              <w14:srgbClr w14:val="000000">
                <w14:alpha w14:val="3000"/>
              </w14:srgbClr>
            </w14:solidFill>
          </w14:textFill>
        </w:rPr>
        <w:t>,</w:t>
      </w:r>
      <w:r w:rsidR="00CC3657" w:rsidRPr="00CC3657">
        <w:t xml:space="preserve"> </w:t>
      </w:r>
      <w:r w:rsidR="00CC3657">
        <w:t>As in Table 1.</w:t>
      </w:r>
    </w:p>
    <w:p w14:paraId="2CB72D3C"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0A4F1D62" w14:textId="77777777" w:rsidR="00312F33" w:rsidRPr="00F84376" w:rsidRDefault="00312F33" w:rsidP="00826F9C">
      <w:pPr>
        <w:pStyle w:val="a"/>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t>Table 1: Dataset Distribution Across Centers</w:t>
      </w:r>
    </w:p>
    <w:tbl>
      <w:tblPr>
        <w:tblStyle w:val="TableGrid"/>
        <w:tblW w:w="5000" w:type="pct"/>
        <w:tblLook w:val="04A0" w:firstRow="1" w:lastRow="0" w:firstColumn="1" w:lastColumn="0" w:noHBand="0" w:noVBand="1"/>
      </w:tblPr>
      <w:tblGrid>
        <w:gridCol w:w="1040"/>
        <w:gridCol w:w="2464"/>
        <w:gridCol w:w="2496"/>
        <w:gridCol w:w="2450"/>
        <w:gridCol w:w="1300"/>
        <w:gridCol w:w="818"/>
      </w:tblGrid>
      <w:tr w:rsidR="00F84376" w:rsidRPr="00F84376" w14:paraId="3437BE69" w14:textId="77777777" w:rsidTr="008A2BB5">
        <w:tc>
          <w:tcPr>
            <w:tcW w:w="492" w:type="pct"/>
            <w:vAlign w:val="center"/>
            <w:hideMark/>
          </w:tcPr>
          <w:p w14:paraId="1826F020" w14:textId="77777777" w:rsidR="00312F33" w:rsidRPr="00F84376" w:rsidRDefault="00312F33" w:rsidP="00731FAD">
            <w:pPr>
              <w:spacing w:line="276" w:lineRule="auto"/>
              <w:jc w:val="both"/>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Center</w:t>
            </w:r>
          </w:p>
        </w:tc>
        <w:tc>
          <w:tcPr>
            <w:tcW w:w="1166" w:type="pct"/>
            <w:vAlign w:val="center"/>
            <w:hideMark/>
          </w:tcPr>
          <w:p w14:paraId="28D6C5F5" w14:textId="77777777" w:rsidR="00312F33" w:rsidRPr="00F84376" w:rsidRDefault="00312F33" w:rsidP="00731FAD">
            <w:pPr>
              <w:spacing w:line="276" w:lineRule="auto"/>
              <w:jc w:val="both"/>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Severe Thrombocytopenia</w:t>
            </w:r>
          </w:p>
        </w:tc>
        <w:tc>
          <w:tcPr>
            <w:tcW w:w="1181" w:type="pct"/>
            <w:vAlign w:val="center"/>
            <w:hideMark/>
          </w:tcPr>
          <w:p w14:paraId="527502AC" w14:textId="77777777" w:rsidR="00312F33" w:rsidRPr="00F84376" w:rsidRDefault="00312F33" w:rsidP="00731FAD">
            <w:pPr>
              <w:spacing w:line="276" w:lineRule="auto"/>
              <w:jc w:val="both"/>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Moderate Thrombocytopenia</w:t>
            </w:r>
          </w:p>
        </w:tc>
        <w:tc>
          <w:tcPr>
            <w:tcW w:w="1159" w:type="pct"/>
            <w:vAlign w:val="center"/>
            <w:hideMark/>
          </w:tcPr>
          <w:p w14:paraId="6DF462F0" w14:textId="77777777" w:rsidR="00312F33" w:rsidRPr="00F84376" w:rsidRDefault="00312F33" w:rsidP="00731FAD">
            <w:pPr>
              <w:spacing w:line="276" w:lineRule="auto"/>
              <w:jc w:val="both"/>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Mild Thrombocytopenia</w:t>
            </w:r>
          </w:p>
        </w:tc>
        <w:tc>
          <w:tcPr>
            <w:tcW w:w="615" w:type="pct"/>
            <w:vAlign w:val="center"/>
            <w:hideMark/>
          </w:tcPr>
          <w:p w14:paraId="538484F3" w14:textId="77777777" w:rsidR="00312F33" w:rsidRPr="00F84376" w:rsidRDefault="00312F33" w:rsidP="00731FAD">
            <w:pPr>
              <w:spacing w:line="276" w:lineRule="auto"/>
              <w:jc w:val="both"/>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Normal Controls</w:t>
            </w:r>
          </w:p>
        </w:tc>
        <w:tc>
          <w:tcPr>
            <w:tcW w:w="387" w:type="pct"/>
            <w:vAlign w:val="center"/>
            <w:hideMark/>
          </w:tcPr>
          <w:p w14:paraId="1DED508C" w14:textId="77777777" w:rsidR="00312F33" w:rsidRPr="00F84376" w:rsidRDefault="00312F33" w:rsidP="00731FAD">
            <w:pPr>
              <w:spacing w:line="276" w:lineRule="auto"/>
              <w:jc w:val="both"/>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Total</w:t>
            </w:r>
          </w:p>
        </w:tc>
      </w:tr>
      <w:tr w:rsidR="00F84376" w:rsidRPr="00F84376" w14:paraId="124F0163" w14:textId="77777777" w:rsidTr="008A2BB5">
        <w:tc>
          <w:tcPr>
            <w:tcW w:w="492" w:type="pct"/>
            <w:vAlign w:val="center"/>
            <w:hideMark/>
          </w:tcPr>
          <w:p w14:paraId="59909AC9"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Center A</w:t>
            </w:r>
          </w:p>
        </w:tc>
        <w:tc>
          <w:tcPr>
            <w:tcW w:w="1166" w:type="pct"/>
            <w:vAlign w:val="center"/>
            <w:hideMark/>
          </w:tcPr>
          <w:p w14:paraId="1B8EE64A"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150</w:t>
            </w:r>
          </w:p>
        </w:tc>
        <w:tc>
          <w:tcPr>
            <w:tcW w:w="1181" w:type="pct"/>
            <w:vAlign w:val="center"/>
            <w:hideMark/>
          </w:tcPr>
          <w:p w14:paraId="5425737B"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200</w:t>
            </w:r>
          </w:p>
        </w:tc>
        <w:tc>
          <w:tcPr>
            <w:tcW w:w="1159" w:type="pct"/>
            <w:vAlign w:val="center"/>
            <w:hideMark/>
          </w:tcPr>
          <w:p w14:paraId="3BCC2447"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150</w:t>
            </w:r>
          </w:p>
        </w:tc>
        <w:tc>
          <w:tcPr>
            <w:tcW w:w="615" w:type="pct"/>
            <w:vAlign w:val="center"/>
            <w:hideMark/>
          </w:tcPr>
          <w:p w14:paraId="21989588"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100</w:t>
            </w:r>
          </w:p>
        </w:tc>
        <w:tc>
          <w:tcPr>
            <w:tcW w:w="387" w:type="pct"/>
            <w:vAlign w:val="center"/>
            <w:hideMark/>
          </w:tcPr>
          <w:p w14:paraId="75AD3ECC"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600</w:t>
            </w:r>
          </w:p>
        </w:tc>
      </w:tr>
      <w:tr w:rsidR="00F84376" w:rsidRPr="00F84376" w14:paraId="009239DC" w14:textId="77777777" w:rsidTr="008A2BB5">
        <w:tc>
          <w:tcPr>
            <w:tcW w:w="492" w:type="pct"/>
            <w:vAlign w:val="center"/>
            <w:hideMark/>
          </w:tcPr>
          <w:p w14:paraId="7BF4EE61"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Center B</w:t>
            </w:r>
          </w:p>
        </w:tc>
        <w:tc>
          <w:tcPr>
            <w:tcW w:w="1166" w:type="pct"/>
            <w:vAlign w:val="center"/>
            <w:hideMark/>
          </w:tcPr>
          <w:p w14:paraId="7E6A0103"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120</w:t>
            </w:r>
          </w:p>
        </w:tc>
        <w:tc>
          <w:tcPr>
            <w:tcW w:w="1181" w:type="pct"/>
            <w:vAlign w:val="center"/>
            <w:hideMark/>
          </w:tcPr>
          <w:p w14:paraId="43B5C102"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180</w:t>
            </w:r>
          </w:p>
        </w:tc>
        <w:tc>
          <w:tcPr>
            <w:tcW w:w="1159" w:type="pct"/>
            <w:vAlign w:val="center"/>
            <w:hideMark/>
          </w:tcPr>
          <w:p w14:paraId="2EBA3960"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120</w:t>
            </w:r>
          </w:p>
        </w:tc>
        <w:tc>
          <w:tcPr>
            <w:tcW w:w="615" w:type="pct"/>
            <w:vAlign w:val="center"/>
            <w:hideMark/>
          </w:tcPr>
          <w:p w14:paraId="3937F4F0"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80</w:t>
            </w:r>
          </w:p>
        </w:tc>
        <w:tc>
          <w:tcPr>
            <w:tcW w:w="387" w:type="pct"/>
            <w:vAlign w:val="center"/>
            <w:hideMark/>
          </w:tcPr>
          <w:p w14:paraId="32BC6598"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500</w:t>
            </w:r>
          </w:p>
        </w:tc>
      </w:tr>
      <w:tr w:rsidR="00F84376" w:rsidRPr="00F84376" w14:paraId="2041ED2C" w14:textId="77777777" w:rsidTr="008A2BB5">
        <w:tc>
          <w:tcPr>
            <w:tcW w:w="492" w:type="pct"/>
            <w:vAlign w:val="center"/>
            <w:hideMark/>
          </w:tcPr>
          <w:p w14:paraId="04C264E6"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Center C</w:t>
            </w:r>
          </w:p>
        </w:tc>
        <w:tc>
          <w:tcPr>
            <w:tcW w:w="1166" w:type="pct"/>
            <w:vAlign w:val="center"/>
            <w:hideMark/>
          </w:tcPr>
          <w:p w14:paraId="30A572F8"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100</w:t>
            </w:r>
          </w:p>
        </w:tc>
        <w:tc>
          <w:tcPr>
            <w:tcW w:w="1181" w:type="pct"/>
            <w:vAlign w:val="center"/>
            <w:hideMark/>
          </w:tcPr>
          <w:p w14:paraId="563867E5"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150</w:t>
            </w:r>
          </w:p>
        </w:tc>
        <w:tc>
          <w:tcPr>
            <w:tcW w:w="1159" w:type="pct"/>
            <w:vAlign w:val="center"/>
            <w:hideMark/>
          </w:tcPr>
          <w:p w14:paraId="4CF6A7E6"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100</w:t>
            </w:r>
          </w:p>
        </w:tc>
        <w:tc>
          <w:tcPr>
            <w:tcW w:w="615" w:type="pct"/>
            <w:vAlign w:val="center"/>
            <w:hideMark/>
          </w:tcPr>
          <w:p w14:paraId="2D9413B3"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50</w:t>
            </w:r>
          </w:p>
        </w:tc>
        <w:tc>
          <w:tcPr>
            <w:tcW w:w="387" w:type="pct"/>
            <w:vAlign w:val="center"/>
            <w:hideMark/>
          </w:tcPr>
          <w:p w14:paraId="24C47825"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400</w:t>
            </w:r>
          </w:p>
        </w:tc>
      </w:tr>
      <w:tr w:rsidR="00F84376" w:rsidRPr="00F84376" w14:paraId="7E5BD1B6" w14:textId="77777777" w:rsidTr="008A2BB5">
        <w:tc>
          <w:tcPr>
            <w:tcW w:w="492" w:type="pct"/>
            <w:vAlign w:val="center"/>
            <w:hideMark/>
          </w:tcPr>
          <w:p w14:paraId="1C3480A3"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Total</w:t>
            </w:r>
          </w:p>
        </w:tc>
        <w:tc>
          <w:tcPr>
            <w:tcW w:w="1166" w:type="pct"/>
            <w:vAlign w:val="center"/>
            <w:hideMark/>
          </w:tcPr>
          <w:p w14:paraId="2537A3EA"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370</w:t>
            </w:r>
          </w:p>
        </w:tc>
        <w:tc>
          <w:tcPr>
            <w:tcW w:w="1181" w:type="pct"/>
            <w:vAlign w:val="center"/>
            <w:hideMark/>
          </w:tcPr>
          <w:p w14:paraId="62981269"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530</w:t>
            </w:r>
          </w:p>
        </w:tc>
        <w:tc>
          <w:tcPr>
            <w:tcW w:w="1159" w:type="pct"/>
            <w:vAlign w:val="center"/>
            <w:hideMark/>
          </w:tcPr>
          <w:p w14:paraId="7F072E24"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370</w:t>
            </w:r>
          </w:p>
        </w:tc>
        <w:tc>
          <w:tcPr>
            <w:tcW w:w="615" w:type="pct"/>
            <w:vAlign w:val="center"/>
            <w:hideMark/>
          </w:tcPr>
          <w:p w14:paraId="51821FC6"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230</w:t>
            </w:r>
          </w:p>
        </w:tc>
        <w:tc>
          <w:tcPr>
            <w:tcW w:w="387" w:type="pct"/>
            <w:vAlign w:val="center"/>
            <w:hideMark/>
          </w:tcPr>
          <w:p w14:paraId="0809E326" w14:textId="77777777" w:rsidR="00312F33" w:rsidRPr="00F84376" w:rsidRDefault="00312F33" w:rsidP="00731FAD">
            <w:pPr>
              <w:spacing w:line="276" w:lineRule="auto"/>
              <w:jc w:val="both"/>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1500</w:t>
            </w:r>
          </w:p>
        </w:tc>
      </w:tr>
    </w:tbl>
    <w:p w14:paraId="23893A11"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628556E5"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Sample Size Justification and Power Analysis</w:t>
      </w:r>
    </w:p>
    <w:p w14:paraId="30637C4A"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73A3E857"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Although an initial dataset of 1,500 images might appear limited, several factors support its adequacy for this investigation:</w:t>
      </w:r>
    </w:p>
    <w:p w14:paraId="72153A0E"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33610D05" w14:textId="77777777" w:rsidR="00312F33" w:rsidRPr="00F84376" w:rsidRDefault="00312F33">
      <w:pPr>
        <w:pStyle w:val="ListParagraph"/>
        <w:numPr>
          <w:ilvl w:val="0"/>
          <w:numId w:val="3"/>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xml:space="preserve">Power Analysis: Using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GPower</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3.1 with α=0.05, power=0.95, and an effect size f=0.25, the required sample size was calculated as 1,287 images. Our dataset exceeds this threshold.</w:t>
      </w:r>
    </w:p>
    <w:p w14:paraId="2D3D3BE1" w14:textId="77777777" w:rsidR="00312F33" w:rsidRPr="00F84376" w:rsidRDefault="00312F33">
      <w:pPr>
        <w:pStyle w:val="ListParagraph"/>
        <w:numPr>
          <w:ilvl w:val="0"/>
          <w:numId w:val="3"/>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Data Quality over Quantity: Each image contains multiple platelets (mean: 45.2 ± 12.3 platelets/image), effectively representing approximately 67,800 individual platelet instances, which bolsters the statistical power.</w:t>
      </w:r>
    </w:p>
    <w:p w14:paraId="212EF005" w14:textId="77777777" w:rsidR="00312F33" w:rsidRPr="00F84376" w:rsidRDefault="00312F33">
      <w:pPr>
        <w:pStyle w:val="ListParagraph"/>
        <w:numPr>
          <w:ilvl w:val="0"/>
          <w:numId w:val="3"/>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Cross-Validation Strategy: We implemented a 5-fold cross-validation, a robust method that makes efficient use of the available data.</w:t>
      </w:r>
    </w:p>
    <w:p w14:paraId="20BABC05" w14:textId="77777777" w:rsidR="00312F33" w:rsidRPr="00F84376" w:rsidRDefault="00312F33">
      <w:pPr>
        <w:pStyle w:val="ListParagraph"/>
        <w:numPr>
          <w:ilvl w:val="0"/>
          <w:numId w:val="3"/>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Future Expansion Plan: We have established collaborations with five additional centers for a phase II validation study, targeting a further 5,000 images.</w:t>
      </w:r>
    </w:p>
    <w:p w14:paraId="36CBDB3E" w14:textId="7641E594"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591167F5" w14:textId="54EAB9FC" w:rsidR="00826F9C" w:rsidRPr="00F84376" w:rsidRDefault="00826F9C"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BEDD994" w14:textId="7EC0E538" w:rsidR="00EB0E97" w:rsidRPr="00F84376" w:rsidRDefault="00EB0E97"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5A6A1AE" w14:textId="0BCE1253" w:rsidR="00312F33" w:rsidRPr="00F84376" w:rsidRDefault="00312F33" w:rsidP="00826F9C">
      <w:pPr>
        <w:pStyle w:val="22222"/>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lastRenderedPageBreak/>
        <w:t>3.2 Data Preprocessing and Augmentation</w:t>
      </w:r>
    </w:p>
    <w:p w14:paraId="249566FB"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Images underwent a series of preprocessing steps:</w:t>
      </w:r>
    </w:p>
    <w:p w14:paraId="129C6BB3"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xml:space="preserve">- Color normalization using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Macenko's</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method to mitigate staining variations.</w:t>
      </w:r>
    </w:p>
    <w:p w14:paraId="15DC7491"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Background subtraction and contrast enhancement to improve feature clarity.</w:t>
      </w:r>
    </w:p>
    <w:p w14:paraId="45709D8A"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Patch extraction for handling high-resolution images effectively.</w:t>
      </w:r>
    </w:p>
    <w:p w14:paraId="3F05F7E0" w14:textId="3FAE24C7" w:rsidR="00312F33" w:rsidRPr="00F84376" w:rsidRDefault="00A85C9C"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several AI-based augmentation techniques are</w:t>
      </w:r>
      <w:r w:rsidR="00312F33" w:rsidRPr="00F84376">
        <w:rPr>
          <w:rFonts w:asciiTheme="majorBidi" w:hAnsiTheme="majorBidi" w:cstheme="majorBidi"/>
          <w:color w:val="000000"/>
          <w:sz w:val="24"/>
          <w:szCs w:val="24"/>
          <w14:textFill>
            <w14:solidFill>
              <w14:srgbClr w14:val="000000">
                <w14:alpha w14:val="3000"/>
              </w14:srgbClr>
            </w14:solidFill>
          </w14:textFill>
        </w:rPr>
        <w:t xml:space="preserve"> </w:t>
      </w:r>
      <w:r w:rsidRPr="00F84376">
        <w:rPr>
          <w:rFonts w:asciiTheme="majorBidi" w:hAnsiTheme="majorBidi" w:cstheme="majorBidi"/>
          <w:color w:val="000000"/>
          <w:sz w:val="24"/>
          <w:szCs w:val="24"/>
          <w14:textFill>
            <w14:solidFill>
              <w14:srgbClr w14:val="000000">
                <w14:alpha w14:val="3000"/>
              </w14:srgbClr>
            </w14:solidFill>
          </w14:textFill>
        </w:rPr>
        <w:t>implemented:</w:t>
      </w:r>
    </w:p>
    <w:p w14:paraId="63032D2E" w14:textId="77777777" w:rsidR="00312F33" w:rsidRPr="00F84376" w:rsidRDefault="00312F33">
      <w:pPr>
        <w:pStyle w:val="ListParagraph"/>
        <w:numPr>
          <w:ilvl w:val="0"/>
          <w:numId w:val="4"/>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xml:space="preserve">GAN-based Augmentation: We trained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StyleGAN2</w:t>
      </w:r>
      <w:proofErr w:type="spellEnd"/>
      <w:r w:rsidRPr="00F84376">
        <w:rPr>
          <w:rFonts w:asciiTheme="majorBidi" w:hAnsiTheme="majorBidi" w:cstheme="majorBidi"/>
          <w:color w:val="000000"/>
          <w:sz w:val="24"/>
          <w:szCs w:val="24"/>
          <w14:textFill>
            <w14:solidFill>
              <w14:srgbClr w14:val="000000">
                <w14:alpha w14:val="3000"/>
              </w14:srgbClr>
            </w14:solidFill>
          </w14:textFill>
        </w:rPr>
        <w:t>-ADA on the original dataset to generate 2,000 synthetic platelet images with diverse morphological characteristics.</w:t>
      </w:r>
    </w:p>
    <w:p w14:paraId="0BE931A1" w14:textId="77777777" w:rsidR="00312F33" w:rsidRPr="00F84376" w:rsidRDefault="00312F33">
      <w:pPr>
        <w:pStyle w:val="ListParagraph"/>
        <w:numPr>
          <w:ilvl w:val="0"/>
          <w:numId w:val="4"/>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Neural Style Transfer: This technique was applied to simulate staining variations while meticulously preserving platelet morphology.</w:t>
      </w:r>
    </w:p>
    <w:p w14:paraId="0C21A0E5" w14:textId="77777777" w:rsidR="00312F33" w:rsidRPr="00F84376" w:rsidRDefault="00312F33">
      <w:pPr>
        <w:pStyle w:val="ListParagraph"/>
        <w:numPr>
          <w:ilvl w:val="0"/>
          <w:numId w:val="4"/>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Traditional Augmentation: We also employed standard methods, including rotation (±15°), scaling (0.8-</w:t>
      </w:r>
      <w:proofErr w:type="spellStart"/>
      <w:r w:rsidRPr="00F84376">
        <w:rPr>
          <w:rFonts w:asciiTheme="majorBidi" w:hAnsiTheme="majorBidi" w:cstheme="majorBidi"/>
          <w:color w:val="000000"/>
          <w:sz w:val="24"/>
          <w:szCs w:val="24"/>
          <w14:textFill>
            <w14:solidFill>
              <w14:srgbClr w14:val="000000">
                <w14:alpha w14:val="3000"/>
              </w14:srgbClr>
            </w14:solidFill>
          </w14:textFill>
        </w:rPr>
        <w:t>1.2x</w:t>
      </w:r>
      <w:proofErr w:type="spellEnd"/>
      <w:r w:rsidRPr="00F84376">
        <w:rPr>
          <w:rFonts w:asciiTheme="majorBidi" w:hAnsiTheme="majorBidi" w:cstheme="majorBidi"/>
          <w:color w:val="000000"/>
          <w:sz w:val="24"/>
          <w:szCs w:val="24"/>
          <w14:textFill>
            <w14:solidFill>
              <w14:srgbClr w14:val="000000">
                <w14:alpha w14:val="3000"/>
              </w14:srgbClr>
            </w14:solidFill>
          </w14:textFill>
        </w:rPr>
        <w:t>), and horizontal flipping.</w:t>
      </w:r>
    </w:p>
    <w:p w14:paraId="2D14DFEB" w14:textId="3A262D93" w:rsidR="00312F33" w:rsidRPr="00F84376" w:rsidRDefault="00312F33">
      <w:pPr>
        <w:pStyle w:val="ListParagraph"/>
        <w:numPr>
          <w:ilvl w:val="1"/>
          <w:numId w:val="4"/>
        </w:numPr>
        <w:spacing w:after="0"/>
        <w:jc w:val="both"/>
        <w:rPr>
          <w:rFonts w:asciiTheme="majorBidi" w:hAnsiTheme="majorBidi" w:cstheme="majorBidi"/>
          <w:i/>
          <w:iCs/>
          <w:color w:val="000000"/>
          <w:sz w:val="24"/>
          <w:szCs w:val="24"/>
          <w14:textFill>
            <w14:solidFill>
              <w14:srgbClr w14:val="000000">
                <w14:alpha w14:val="3000"/>
              </w14:srgbClr>
            </w14:solidFill>
          </w14:textFill>
        </w:rPr>
      </w:pPr>
      <w:r w:rsidRPr="00F84376">
        <w:rPr>
          <w:rFonts w:asciiTheme="majorBidi" w:hAnsiTheme="majorBidi" w:cstheme="majorBidi"/>
          <w:i/>
          <w:iCs/>
          <w:color w:val="000000"/>
          <w:sz w:val="24"/>
          <w:szCs w:val="24"/>
          <w14:textFill>
            <w14:solidFill>
              <w14:srgbClr w14:val="000000">
                <w14:alpha w14:val="3000"/>
              </w14:srgbClr>
            </w14:solidFill>
          </w14:textFill>
        </w:rPr>
        <w:t>YOLO Architectures Implementation</w:t>
      </w:r>
    </w:p>
    <w:p w14:paraId="14DF083A" w14:textId="39A1E9CD" w:rsidR="00312F33" w:rsidRPr="00F84376" w:rsidRDefault="005715A7"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Three YOLO architectures are</w:t>
      </w:r>
      <w:r w:rsidR="00312F33" w:rsidRPr="00F84376">
        <w:rPr>
          <w:rFonts w:asciiTheme="majorBidi" w:hAnsiTheme="majorBidi" w:cstheme="majorBidi"/>
          <w:color w:val="000000"/>
          <w:sz w:val="24"/>
          <w:szCs w:val="24"/>
          <w14:textFill>
            <w14:solidFill>
              <w14:srgbClr w14:val="000000">
                <w14:alpha w14:val="3000"/>
              </w14:srgbClr>
            </w14:solidFill>
          </w14:textFill>
        </w:rPr>
        <w:t xml:space="preserve"> implemented and </w:t>
      </w:r>
      <w:proofErr w:type="gramStart"/>
      <w:r w:rsidR="00312F33" w:rsidRPr="00F84376">
        <w:rPr>
          <w:rFonts w:asciiTheme="majorBidi" w:hAnsiTheme="majorBidi" w:cstheme="majorBidi"/>
          <w:color w:val="000000"/>
          <w:sz w:val="24"/>
          <w:szCs w:val="24"/>
          <w14:textFill>
            <w14:solidFill>
              <w14:srgbClr w14:val="000000">
                <w14:alpha w14:val="3000"/>
              </w14:srgbClr>
            </w14:solidFill>
          </w14:textFill>
        </w:rPr>
        <w:t>compared :</w:t>
      </w:r>
      <w:proofErr w:type="gramEnd"/>
    </w:p>
    <w:p w14:paraId="22E856EB" w14:textId="77777777" w:rsidR="00312F33" w:rsidRPr="00F84376" w:rsidRDefault="00312F33">
      <w:pPr>
        <w:pStyle w:val="ListParagraph"/>
        <w:numPr>
          <w:ilvl w:val="0"/>
          <w:numId w:val="5"/>
        </w:numPr>
        <w:spacing w:after="0"/>
        <w:jc w:val="both"/>
        <w:rPr>
          <w:rFonts w:asciiTheme="majorBidi" w:hAnsiTheme="majorBidi" w:cstheme="majorBidi"/>
          <w:color w:val="000000"/>
          <w:sz w:val="24"/>
          <w:szCs w:val="24"/>
          <w14:textFill>
            <w14:solidFill>
              <w14:srgbClr w14:val="000000">
                <w14:alpha w14:val="3000"/>
              </w14:srgbClr>
            </w14:solidFill>
          </w14:textFill>
        </w:rPr>
      </w:pPr>
      <w:proofErr w:type="spellStart"/>
      <w:r w:rsidRPr="00F84376">
        <w:rPr>
          <w:rFonts w:asciiTheme="majorBidi" w:hAnsiTheme="majorBidi" w:cstheme="majorBidi"/>
          <w:color w:val="000000"/>
          <w:sz w:val="24"/>
          <w:szCs w:val="24"/>
          <w14:textFill>
            <w14:solidFill>
              <w14:srgbClr w14:val="000000">
                <w14:alpha w14:val="3000"/>
              </w14:srgbClr>
            </w14:solidFill>
          </w14:textFill>
        </w:rPr>
        <w:t>YOLOv5</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We implemented this model within the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PyTorch</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framework. While we retained its default hyperparameters, we specifically calibrated them to enhance performance in detecting small objects like platelets.</w:t>
      </w:r>
    </w:p>
    <w:p w14:paraId="465B2E77" w14:textId="77777777" w:rsidR="00312F33" w:rsidRPr="00F84376" w:rsidRDefault="00312F33">
      <w:pPr>
        <w:pStyle w:val="ListParagraph"/>
        <w:numPr>
          <w:ilvl w:val="0"/>
          <w:numId w:val="5"/>
        </w:numPr>
        <w:spacing w:after="0"/>
        <w:jc w:val="both"/>
        <w:rPr>
          <w:rFonts w:asciiTheme="majorBidi" w:hAnsiTheme="majorBidi" w:cstheme="majorBidi"/>
          <w:color w:val="000000"/>
          <w:sz w:val="24"/>
          <w:szCs w:val="24"/>
          <w14:textFill>
            <w14:solidFill>
              <w14:srgbClr w14:val="000000">
                <w14:alpha w14:val="3000"/>
              </w14:srgbClr>
            </w14:solidFill>
          </w14:textFill>
        </w:rPr>
      </w:pPr>
      <w:proofErr w:type="spellStart"/>
      <w:r w:rsidRPr="00F84376">
        <w:rPr>
          <w:rFonts w:asciiTheme="majorBidi" w:hAnsiTheme="majorBidi" w:cstheme="majorBidi"/>
          <w:color w:val="000000"/>
          <w:sz w:val="24"/>
          <w:szCs w:val="24"/>
          <w14:textFill>
            <w14:solidFill>
              <w14:srgbClr w14:val="000000">
                <w14:alpha w14:val="3000"/>
              </w14:srgbClr>
            </w14:solidFill>
          </w14:textFill>
        </w:rPr>
        <w:t>YOLOv7</w:t>
      </w:r>
      <w:proofErr w:type="spellEnd"/>
      <w:r w:rsidRPr="00F84376">
        <w:rPr>
          <w:rFonts w:asciiTheme="majorBidi" w:hAnsiTheme="majorBidi" w:cstheme="majorBidi"/>
          <w:color w:val="000000"/>
          <w:sz w:val="24"/>
          <w:szCs w:val="24"/>
          <w14:textFill>
            <w14:solidFill>
              <w14:srgbClr w14:val="000000">
                <w14:alpha w14:val="3000"/>
              </w14:srgbClr>
            </w14:solidFill>
          </w14:textFill>
        </w:rPr>
        <w:t>: This architecture leverages an extended efficient layer aggregation network (E-ELAN) and a compound model scaling strategy. Its design, which includes a refined feature pyramid network, makes it inherently well-suited for identifying small and intricate biological structures.</w:t>
      </w:r>
    </w:p>
    <w:p w14:paraId="331274CE" w14:textId="77777777" w:rsidR="00312F33" w:rsidRPr="00F84376" w:rsidRDefault="00312F33">
      <w:pPr>
        <w:pStyle w:val="ListParagraph"/>
        <w:numPr>
          <w:ilvl w:val="0"/>
          <w:numId w:val="5"/>
        </w:numPr>
        <w:spacing w:after="0"/>
        <w:jc w:val="both"/>
        <w:rPr>
          <w:rFonts w:asciiTheme="majorBidi" w:hAnsiTheme="majorBidi" w:cstheme="majorBidi"/>
          <w:color w:val="000000"/>
          <w:sz w:val="24"/>
          <w:szCs w:val="24"/>
          <w14:textFill>
            <w14:solidFill>
              <w14:srgbClr w14:val="000000">
                <w14:alpha w14:val="3000"/>
              </w14:srgbClr>
            </w14:solidFill>
          </w14:textFill>
        </w:rPr>
      </w:pPr>
      <w:proofErr w:type="spellStart"/>
      <w:r w:rsidRPr="00F84376">
        <w:rPr>
          <w:rFonts w:asciiTheme="majorBidi" w:hAnsiTheme="majorBidi" w:cstheme="majorBidi"/>
          <w:color w:val="000000"/>
          <w:sz w:val="24"/>
          <w:szCs w:val="24"/>
          <w14:textFill>
            <w14:solidFill>
              <w14:srgbClr w14:val="000000">
                <w14:alpha w14:val="3000"/>
              </w14:srgbClr>
            </w14:solidFill>
          </w14:textFill>
        </w:rPr>
        <w:t>YOLOv8</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We implemented this model with its anchor-free split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Ultralytics</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head and a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CSPDarknet53</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backbone. This anchor-free approach proved particularly beneficial for detecting platelets, which exhibit variable aspect ratios.</w:t>
      </w:r>
    </w:p>
    <w:p w14:paraId="3C150F0C" w14:textId="32682DDA"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xml:space="preserve"> all models </w:t>
      </w:r>
      <w:r w:rsidR="005715A7" w:rsidRPr="00F84376">
        <w:rPr>
          <w:rFonts w:asciiTheme="majorBidi" w:hAnsiTheme="majorBidi" w:cstheme="majorBidi"/>
          <w:color w:val="000000"/>
          <w:sz w:val="24"/>
          <w:szCs w:val="24"/>
          <w14:textFill>
            <w14:solidFill>
              <w14:srgbClr w14:val="000000">
                <w14:alpha w14:val="3000"/>
              </w14:srgbClr>
            </w14:solidFill>
          </w14:textFill>
        </w:rPr>
        <w:t xml:space="preserve">were initialized </w:t>
      </w:r>
      <w:r w:rsidRPr="00F84376">
        <w:rPr>
          <w:rFonts w:asciiTheme="majorBidi" w:hAnsiTheme="majorBidi" w:cstheme="majorBidi"/>
          <w:color w:val="000000"/>
          <w:sz w:val="24"/>
          <w:szCs w:val="24"/>
          <w14:textFill>
            <w14:solidFill>
              <w14:srgbClr w14:val="000000">
                <w14:alpha w14:val="3000"/>
              </w14:srgbClr>
            </w14:solidFill>
          </w14:textFill>
        </w:rPr>
        <w:t>using transfer learning with weights pre-trained on the COCO dataset. The training protocol consisted of 300 epochs, incorporating an early stopping mechanism with a patience of 50 epochs to prevent overfitting.</w:t>
      </w:r>
    </w:p>
    <w:p w14:paraId="0EEF0F89" w14:textId="6EDB6D3C"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0433BBE3" w14:textId="2C24E302" w:rsidR="00312F33" w:rsidRPr="00F84376" w:rsidRDefault="00312F33">
      <w:pPr>
        <w:pStyle w:val="ListParagraph"/>
        <w:numPr>
          <w:ilvl w:val="1"/>
          <w:numId w:val="4"/>
        </w:numPr>
        <w:spacing w:after="0"/>
        <w:jc w:val="both"/>
        <w:rPr>
          <w:rFonts w:asciiTheme="majorBidi" w:hAnsiTheme="majorBidi" w:cstheme="majorBidi"/>
          <w:i/>
          <w:iCs/>
          <w:color w:val="000000"/>
          <w:sz w:val="24"/>
          <w:szCs w:val="24"/>
          <w14:textFill>
            <w14:solidFill>
              <w14:srgbClr w14:val="000000">
                <w14:alpha w14:val="3000"/>
              </w14:srgbClr>
            </w14:solidFill>
          </w14:textFill>
        </w:rPr>
      </w:pPr>
      <w:r w:rsidRPr="00F84376">
        <w:rPr>
          <w:rFonts w:asciiTheme="majorBidi" w:hAnsiTheme="majorBidi" w:cstheme="majorBidi"/>
          <w:i/>
          <w:iCs/>
          <w:color w:val="000000"/>
          <w:sz w:val="24"/>
          <w:szCs w:val="24"/>
          <w14:textFill>
            <w14:solidFill>
              <w14:srgbClr w14:val="000000">
                <w14:alpha w14:val="3000"/>
              </w14:srgbClr>
            </w14:solidFill>
          </w14:textFill>
        </w:rPr>
        <w:t>Evaluation Metrics</w:t>
      </w:r>
    </w:p>
    <w:p w14:paraId="4FBBA105"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We evaluated performance using a comprehensive set of metrics:</w:t>
      </w:r>
    </w:p>
    <w:p w14:paraId="6C1D2770" w14:textId="77777777" w:rsidR="00312F33" w:rsidRPr="00F84376" w:rsidRDefault="00312F33">
      <w:pPr>
        <w:pStyle w:val="ListParagraph"/>
        <w:numPr>
          <w:ilvl w:val="0"/>
          <w:numId w:val="5"/>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Mean Average Precision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mAP@0.5</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and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mAP@0.5:0.95</w:t>
      </w:r>
      <w:proofErr w:type="spellEnd"/>
      <w:r w:rsidRPr="00F84376">
        <w:rPr>
          <w:rFonts w:asciiTheme="majorBidi" w:hAnsiTheme="majorBidi" w:cstheme="majorBidi"/>
          <w:color w:val="000000"/>
          <w:sz w:val="24"/>
          <w:szCs w:val="24"/>
          <w14:textFill>
            <w14:solidFill>
              <w14:srgbClr w14:val="000000">
                <w14:alpha w14:val="3000"/>
              </w14:srgbClr>
            </w14:solidFill>
          </w14:textFill>
        </w:rPr>
        <w:t>)</w:t>
      </w:r>
    </w:p>
    <w:p w14:paraId="357EDFBC" w14:textId="77777777" w:rsidR="00312F33" w:rsidRPr="00F84376" w:rsidRDefault="00312F33">
      <w:pPr>
        <w:pStyle w:val="ListParagraph"/>
        <w:numPr>
          <w:ilvl w:val="0"/>
          <w:numId w:val="5"/>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Precision and Recall</w:t>
      </w:r>
    </w:p>
    <w:p w14:paraId="5F5A0670" w14:textId="77777777" w:rsidR="00312F33" w:rsidRPr="00F84376" w:rsidRDefault="00312F33">
      <w:pPr>
        <w:pStyle w:val="ListParagraph"/>
        <w:numPr>
          <w:ilvl w:val="0"/>
          <w:numId w:val="5"/>
        </w:numPr>
        <w:spacing w:after="0"/>
        <w:jc w:val="both"/>
        <w:rPr>
          <w:rFonts w:asciiTheme="majorBidi" w:hAnsiTheme="majorBidi" w:cstheme="majorBidi"/>
          <w:color w:val="000000"/>
          <w:sz w:val="24"/>
          <w:szCs w:val="24"/>
          <w14:textFill>
            <w14:solidFill>
              <w14:srgbClr w14:val="000000">
                <w14:alpha w14:val="3000"/>
              </w14:srgbClr>
            </w14:solidFill>
          </w14:textFill>
        </w:rPr>
      </w:pPr>
      <w:proofErr w:type="spellStart"/>
      <w:r w:rsidRPr="00F84376">
        <w:rPr>
          <w:rFonts w:asciiTheme="majorBidi" w:hAnsiTheme="majorBidi" w:cstheme="majorBidi"/>
          <w:color w:val="000000"/>
          <w:sz w:val="24"/>
          <w:szCs w:val="24"/>
          <w14:textFill>
            <w14:solidFill>
              <w14:srgbClr w14:val="000000">
                <w14:alpha w14:val="3000"/>
              </w14:srgbClr>
            </w14:solidFill>
          </w14:textFill>
        </w:rPr>
        <w:t>F1</w:t>
      </w:r>
      <w:proofErr w:type="spellEnd"/>
      <w:r w:rsidRPr="00F84376">
        <w:rPr>
          <w:rFonts w:asciiTheme="majorBidi" w:hAnsiTheme="majorBidi" w:cstheme="majorBidi"/>
          <w:color w:val="000000"/>
          <w:sz w:val="24"/>
          <w:szCs w:val="24"/>
          <w14:textFill>
            <w14:solidFill>
              <w14:srgbClr w14:val="000000">
                <w14:alpha w14:val="3000"/>
              </w14:srgbClr>
            </w14:solidFill>
          </w14:textFill>
        </w:rPr>
        <w:t>-Score</w:t>
      </w:r>
    </w:p>
    <w:p w14:paraId="1BB5DA0C" w14:textId="77777777" w:rsidR="00312F33" w:rsidRPr="00F84376" w:rsidRDefault="00312F33">
      <w:pPr>
        <w:pStyle w:val="ListParagraph"/>
        <w:numPr>
          <w:ilvl w:val="0"/>
          <w:numId w:val="5"/>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Inference time</w:t>
      </w:r>
    </w:p>
    <w:p w14:paraId="2A7AAC4B" w14:textId="77777777" w:rsidR="00312F33" w:rsidRPr="00F84376" w:rsidRDefault="00312F33">
      <w:pPr>
        <w:pStyle w:val="ListParagraph"/>
        <w:numPr>
          <w:ilvl w:val="0"/>
          <w:numId w:val="5"/>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Correlation with manual counts</w:t>
      </w:r>
    </w:p>
    <w:p w14:paraId="3F3079FC"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1C48FFD" w14:textId="309AB314" w:rsidR="00312F33" w:rsidRPr="00F84376" w:rsidRDefault="00CF384A"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The</w:t>
      </w:r>
      <w:r w:rsidR="00312F33" w:rsidRPr="00F84376">
        <w:rPr>
          <w:rFonts w:asciiTheme="majorBidi" w:hAnsiTheme="majorBidi" w:cstheme="majorBidi"/>
          <w:color w:val="000000"/>
          <w:sz w:val="24"/>
          <w:szCs w:val="24"/>
          <w14:textFill>
            <w14:solidFill>
              <w14:srgbClr w14:val="000000">
                <w14:alpha w14:val="3000"/>
              </w14:srgbClr>
            </w14:solidFill>
          </w14:textFill>
        </w:rPr>
        <w:t xml:space="preserve"> statistical analysis included Pearson correlation coefficients, Bland-Altman analysis, and ANOVA for performance comparisons across models.</w:t>
      </w:r>
    </w:p>
    <w:p w14:paraId="774E571A" w14:textId="1AE69FFF" w:rsidR="00312F33" w:rsidRPr="00F84376" w:rsidRDefault="00826F9C" w:rsidP="00826F9C">
      <w:pPr>
        <w:pStyle w:val="Int"/>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lastRenderedPageBreak/>
        <w:t xml:space="preserve">RESULTS AND ANALYSIS </w:t>
      </w:r>
    </w:p>
    <w:p w14:paraId="420F319E" w14:textId="77777777" w:rsidR="00826F9C" w:rsidRPr="00F84376" w:rsidRDefault="00826F9C"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3159D1A7" w14:textId="32014FE4" w:rsidR="00312F33" w:rsidRPr="00F84376" w:rsidRDefault="00521BB4"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i/>
          <w:iCs/>
          <w:color w:val="000000"/>
          <w:sz w:val="24"/>
          <w:szCs w:val="24"/>
          <w14:textFill>
            <w14:solidFill>
              <w14:srgbClr w14:val="000000">
                <w14:alpha w14:val="3000"/>
              </w14:srgbClr>
            </w14:solidFill>
          </w14:textFill>
        </w:rPr>
        <w:t xml:space="preserve">This section provides an overall evaluation of the YOLO architectures, highlighting that </w:t>
      </w:r>
      <w:proofErr w:type="spellStart"/>
      <w:r w:rsidRPr="00F84376">
        <w:rPr>
          <w:rFonts w:asciiTheme="majorBidi" w:hAnsiTheme="majorBidi" w:cstheme="majorBidi"/>
          <w:i/>
          <w:iCs/>
          <w:color w:val="000000"/>
          <w:sz w:val="24"/>
          <w:szCs w:val="24"/>
          <w14:textFill>
            <w14:solidFill>
              <w14:srgbClr w14:val="000000">
                <w14:alpha w14:val="3000"/>
              </w14:srgbClr>
            </w14:solidFill>
          </w14:textFill>
        </w:rPr>
        <w:t>YOLOv8</w:t>
      </w:r>
      <w:proofErr w:type="spellEnd"/>
      <w:r w:rsidRPr="00F84376">
        <w:rPr>
          <w:rFonts w:asciiTheme="majorBidi" w:hAnsiTheme="majorBidi" w:cstheme="majorBidi"/>
          <w:i/>
          <w:iCs/>
          <w:color w:val="000000"/>
          <w:sz w:val="24"/>
          <w:szCs w:val="24"/>
          <w14:textFill>
            <w14:solidFill>
              <w14:srgbClr w14:val="000000">
                <w14:alpha w14:val="3000"/>
              </w14:srgbClr>
            </w14:solidFill>
          </w14:textFill>
        </w:rPr>
        <w:t xml:space="preserve"> consistently outperformed </w:t>
      </w:r>
      <w:proofErr w:type="spellStart"/>
      <w:r w:rsidRPr="00F84376">
        <w:rPr>
          <w:rFonts w:asciiTheme="majorBidi" w:hAnsiTheme="majorBidi" w:cstheme="majorBidi"/>
          <w:i/>
          <w:iCs/>
          <w:color w:val="000000"/>
          <w:sz w:val="24"/>
          <w:szCs w:val="24"/>
          <w14:textFill>
            <w14:solidFill>
              <w14:srgbClr w14:val="000000">
                <w14:alpha w14:val="3000"/>
              </w14:srgbClr>
            </w14:solidFill>
          </w14:textFill>
        </w:rPr>
        <w:t>YOLOv5</w:t>
      </w:r>
      <w:proofErr w:type="spellEnd"/>
      <w:r w:rsidRPr="00F84376">
        <w:rPr>
          <w:rFonts w:asciiTheme="majorBidi" w:hAnsiTheme="majorBidi" w:cstheme="majorBidi"/>
          <w:i/>
          <w:iCs/>
          <w:color w:val="000000"/>
          <w:sz w:val="24"/>
          <w:szCs w:val="24"/>
          <w14:textFill>
            <w14:solidFill>
              <w14:srgbClr w14:val="000000">
                <w14:alpha w14:val="3000"/>
              </w14:srgbClr>
            </w14:solidFill>
          </w14:textFill>
        </w:rPr>
        <w:t xml:space="preserve"> and </w:t>
      </w:r>
      <w:proofErr w:type="spellStart"/>
      <w:r w:rsidRPr="007046A2">
        <w:rPr>
          <w:rFonts w:asciiTheme="majorBidi" w:hAnsiTheme="majorBidi" w:cstheme="majorBidi"/>
          <w:color w:val="000000"/>
          <w:sz w:val="24"/>
          <w:szCs w:val="24"/>
          <w14:textFill>
            <w14:solidFill>
              <w14:srgbClr w14:val="000000">
                <w14:alpha w14:val="3000"/>
              </w14:srgbClr>
            </w14:solidFill>
          </w14:textFill>
        </w:rPr>
        <w:t>YOLOv7</w:t>
      </w:r>
      <w:proofErr w:type="spellEnd"/>
      <w:r w:rsidRPr="007046A2">
        <w:rPr>
          <w:rFonts w:asciiTheme="majorBidi" w:hAnsiTheme="majorBidi" w:cstheme="majorBidi"/>
          <w:color w:val="000000"/>
          <w:sz w:val="24"/>
          <w:szCs w:val="24"/>
          <w14:textFill>
            <w14:solidFill>
              <w14:srgbClr w14:val="000000">
                <w14:alpha w14:val="3000"/>
              </w14:srgbClr>
            </w14:solidFill>
          </w14:textFill>
        </w:rPr>
        <w:t xml:space="preserve"> in accuracy, precision, and recall, establishing it as the most effective model for automated platelet detection</w:t>
      </w:r>
      <w:r w:rsidR="00CC3657" w:rsidRPr="007046A2">
        <w:rPr>
          <w:rFonts w:asciiTheme="majorBidi" w:hAnsiTheme="majorBidi" w:cstheme="majorBidi"/>
          <w:color w:val="000000"/>
          <w:sz w:val="24"/>
          <w:szCs w:val="24"/>
          <w14:textFill>
            <w14:solidFill>
              <w14:srgbClr w14:val="000000">
                <w14:alpha w14:val="3000"/>
              </w14:srgbClr>
            </w14:solidFill>
          </w14:textFill>
        </w:rPr>
        <w:t>, As in Table 2.</w:t>
      </w:r>
    </w:p>
    <w:p w14:paraId="5DCCBEF8" w14:textId="77777777" w:rsidR="00312F33" w:rsidRPr="00F84376" w:rsidRDefault="00312F33" w:rsidP="00826F9C">
      <w:pPr>
        <w:pStyle w:val="a"/>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t>Table 2: Statistical Comparison of YOLO Architectures</w:t>
      </w:r>
    </w:p>
    <w:tbl>
      <w:tblPr>
        <w:tblStyle w:val="TableGrid"/>
        <w:tblW w:w="5000" w:type="pct"/>
        <w:tblLook w:val="04A0" w:firstRow="1" w:lastRow="0" w:firstColumn="1" w:lastColumn="0" w:noHBand="0" w:noVBand="1"/>
      </w:tblPr>
      <w:tblGrid>
        <w:gridCol w:w="1239"/>
        <w:gridCol w:w="1587"/>
        <w:gridCol w:w="1110"/>
        <w:gridCol w:w="1477"/>
        <w:gridCol w:w="1110"/>
        <w:gridCol w:w="1143"/>
        <w:gridCol w:w="1110"/>
        <w:gridCol w:w="1792"/>
      </w:tblGrid>
      <w:tr w:rsidR="00F84376" w:rsidRPr="00F84376" w14:paraId="4FBBD8A0" w14:textId="77777777" w:rsidTr="00826F9C">
        <w:tc>
          <w:tcPr>
            <w:tcW w:w="586" w:type="pct"/>
            <w:vAlign w:val="center"/>
            <w:hideMark/>
          </w:tcPr>
          <w:p w14:paraId="12C71EFE"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Model</w:t>
            </w:r>
          </w:p>
        </w:tc>
        <w:tc>
          <w:tcPr>
            <w:tcW w:w="751" w:type="pct"/>
            <w:vAlign w:val="center"/>
            <w:hideMark/>
          </w:tcPr>
          <w:p w14:paraId="7BFCA327"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proofErr w:type="spellStart"/>
            <w:r w:rsidRPr="00F84376">
              <w:rPr>
                <w:rFonts w:asciiTheme="majorBidi" w:hAnsiTheme="majorBidi" w:cstheme="majorBidi"/>
                <w:b/>
                <w:bCs/>
                <w:color w:val="000000"/>
                <w:sz w:val="20"/>
                <w:szCs w:val="20"/>
                <w14:textFill>
                  <w14:solidFill>
                    <w14:srgbClr w14:val="000000">
                      <w14:alpha w14:val="3000"/>
                    </w14:srgbClr>
                  </w14:solidFill>
                </w14:textFill>
              </w:rPr>
              <w:t>mAP@0.5</w:t>
            </w:r>
            <w:proofErr w:type="spellEnd"/>
            <w:r w:rsidRPr="00F84376">
              <w:rPr>
                <w:rFonts w:asciiTheme="majorBidi" w:hAnsiTheme="majorBidi" w:cstheme="majorBidi"/>
                <w:b/>
                <w:bCs/>
                <w:color w:val="000000"/>
                <w:sz w:val="20"/>
                <w:szCs w:val="20"/>
                <w14:textFill>
                  <w14:solidFill>
                    <w14:srgbClr w14:val="000000">
                      <w14:alpha w14:val="3000"/>
                    </w14:srgbClr>
                  </w14:solidFill>
                </w14:textFill>
              </w:rPr>
              <w:t xml:space="preserve"> (%)</w:t>
            </w:r>
          </w:p>
        </w:tc>
        <w:tc>
          <w:tcPr>
            <w:tcW w:w="525" w:type="pct"/>
            <w:vAlign w:val="center"/>
            <w:hideMark/>
          </w:tcPr>
          <w:p w14:paraId="260C07CE"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95% CI</w:t>
            </w:r>
          </w:p>
        </w:tc>
        <w:tc>
          <w:tcPr>
            <w:tcW w:w="699" w:type="pct"/>
            <w:vAlign w:val="center"/>
            <w:hideMark/>
          </w:tcPr>
          <w:p w14:paraId="36942E65"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Precision (%)</w:t>
            </w:r>
          </w:p>
        </w:tc>
        <w:tc>
          <w:tcPr>
            <w:tcW w:w="525" w:type="pct"/>
            <w:vAlign w:val="center"/>
            <w:hideMark/>
          </w:tcPr>
          <w:p w14:paraId="6DC4BA3F"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95% CI</w:t>
            </w:r>
          </w:p>
        </w:tc>
        <w:tc>
          <w:tcPr>
            <w:tcW w:w="541" w:type="pct"/>
            <w:vAlign w:val="center"/>
            <w:hideMark/>
          </w:tcPr>
          <w:p w14:paraId="2F29EFC2"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Recall (%)</w:t>
            </w:r>
          </w:p>
        </w:tc>
        <w:tc>
          <w:tcPr>
            <w:tcW w:w="525" w:type="pct"/>
            <w:vAlign w:val="center"/>
            <w:hideMark/>
          </w:tcPr>
          <w:p w14:paraId="76DFBC77"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95% CI</w:t>
            </w:r>
          </w:p>
        </w:tc>
        <w:tc>
          <w:tcPr>
            <w:tcW w:w="849" w:type="pct"/>
            <w:vAlign w:val="center"/>
            <w:hideMark/>
          </w:tcPr>
          <w:p w14:paraId="004E1D04"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 xml:space="preserve">p-value vs. </w:t>
            </w:r>
            <w:proofErr w:type="spellStart"/>
            <w:r w:rsidRPr="00F84376">
              <w:rPr>
                <w:rFonts w:asciiTheme="majorBidi" w:hAnsiTheme="majorBidi" w:cstheme="majorBidi"/>
                <w:b/>
                <w:bCs/>
                <w:color w:val="000000"/>
                <w:sz w:val="20"/>
                <w:szCs w:val="20"/>
                <w14:textFill>
                  <w14:solidFill>
                    <w14:srgbClr w14:val="000000">
                      <w14:alpha w14:val="3000"/>
                    </w14:srgbClr>
                  </w14:solidFill>
                </w14:textFill>
              </w:rPr>
              <w:t>YOLOv5</w:t>
            </w:r>
            <w:proofErr w:type="spellEnd"/>
          </w:p>
        </w:tc>
      </w:tr>
      <w:tr w:rsidR="00F84376" w:rsidRPr="00F84376" w14:paraId="1AA09C99" w14:textId="77777777" w:rsidTr="00826F9C">
        <w:tc>
          <w:tcPr>
            <w:tcW w:w="586" w:type="pct"/>
            <w:vAlign w:val="center"/>
            <w:hideMark/>
          </w:tcPr>
          <w:p w14:paraId="7472587A"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proofErr w:type="spellStart"/>
            <w:r w:rsidRPr="00F84376">
              <w:rPr>
                <w:rFonts w:asciiTheme="majorBidi" w:hAnsiTheme="majorBidi" w:cstheme="majorBidi"/>
                <w:color w:val="000000"/>
                <w:sz w:val="20"/>
                <w:szCs w:val="20"/>
                <w14:textFill>
                  <w14:solidFill>
                    <w14:srgbClr w14:val="000000">
                      <w14:alpha w14:val="3000"/>
                    </w14:srgbClr>
                  </w14:solidFill>
                </w14:textFill>
              </w:rPr>
              <w:t>YOLOv5</w:t>
            </w:r>
            <w:proofErr w:type="spellEnd"/>
          </w:p>
        </w:tc>
        <w:tc>
          <w:tcPr>
            <w:tcW w:w="751" w:type="pct"/>
            <w:vAlign w:val="center"/>
            <w:hideMark/>
          </w:tcPr>
          <w:p w14:paraId="61B92D30"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92.3</w:t>
            </w:r>
          </w:p>
        </w:tc>
        <w:tc>
          <w:tcPr>
            <w:tcW w:w="525" w:type="pct"/>
            <w:vAlign w:val="center"/>
            <w:hideMark/>
          </w:tcPr>
          <w:p w14:paraId="180787CC"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[91.1 – 93.5]</w:t>
            </w:r>
          </w:p>
        </w:tc>
        <w:tc>
          <w:tcPr>
            <w:tcW w:w="699" w:type="pct"/>
            <w:vAlign w:val="center"/>
            <w:hideMark/>
          </w:tcPr>
          <w:p w14:paraId="73F14C29"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93.1</w:t>
            </w:r>
          </w:p>
        </w:tc>
        <w:tc>
          <w:tcPr>
            <w:tcW w:w="525" w:type="pct"/>
            <w:vAlign w:val="center"/>
            <w:hideMark/>
          </w:tcPr>
          <w:p w14:paraId="0B03C3CC"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[91.8 – 94.3]</w:t>
            </w:r>
          </w:p>
        </w:tc>
        <w:tc>
          <w:tcPr>
            <w:tcW w:w="541" w:type="pct"/>
            <w:vAlign w:val="center"/>
            <w:hideMark/>
          </w:tcPr>
          <w:p w14:paraId="2A7B292D"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90.8</w:t>
            </w:r>
          </w:p>
        </w:tc>
        <w:tc>
          <w:tcPr>
            <w:tcW w:w="525" w:type="pct"/>
            <w:vAlign w:val="center"/>
            <w:hideMark/>
          </w:tcPr>
          <w:p w14:paraId="51E76270"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[89.4 – 92.1]</w:t>
            </w:r>
          </w:p>
        </w:tc>
        <w:tc>
          <w:tcPr>
            <w:tcW w:w="849" w:type="pct"/>
            <w:vAlign w:val="center"/>
            <w:hideMark/>
          </w:tcPr>
          <w:p w14:paraId="34B83A48"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Reference</w:t>
            </w:r>
          </w:p>
        </w:tc>
      </w:tr>
      <w:tr w:rsidR="00F84376" w:rsidRPr="00F84376" w14:paraId="2F67C40C" w14:textId="77777777" w:rsidTr="00826F9C">
        <w:tc>
          <w:tcPr>
            <w:tcW w:w="586" w:type="pct"/>
            <w:vAlign w:val="center"/>
            <w:hideMark/>
          </w:tcPr>
          <w:p w14:paraId="1EA45527"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proofErr w:type="spellStart"/>
            <w:r w:rsidRPr="00F84376">
              <w:rPr>
                <w:rFonts w:asciiTheme="majorBidi" w:hAnsiTheme="majorBidi" w:cstheme="majorBidi"/>
                <w:color w:val="000000"/>
                <w:sz w:val="20"/>
                <w:szCs w:val="20"/>
                <w14:textFill>
                  <w14:solidFill>
                    <w14:srgbClr w14:val="000000">
                      <w14:alpha w14:val="3000"/>
                    </w14:srgbClr>
                  </w14:solidFill>
                </w14:textFill>
              </w:rPr>
              <w:t>YOLOv7</w:t>
            </w:r>
            <w:proofErr w:type="spellEnd"/>
          </w:p>
        </w:tc>
        <w:tc>
          <w:tcPr>
            <w:tcW w:w="751" w:type="pct"/>
            <w:vAlign w:val="center"/>
            <w:hideMark/>
          </w:tcPr>
          <w:p w14:paraId="21637C28"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94.7</w:t>
            </w:r>
          </w:p>
        </w:tc>
        <w:tc>
          <w:tcPr>
            <w:tcW w:w="525" w:type="pct"/>
            <w:vAlign w:val="center"/>
            <w:hideMark/>
          </w:tcPr>
          <w:p w14:paraId="009ECCD9"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[93.6 – 95.8]</w:t>
            </w:r>
          </w:p>
        </w:tc>
        <w:tc>
          <w:tcPr>
            <w:tcW w:w="699" w:type="pct"/>
            <w:vAlign w:val="center"/>
            <w:hideMark/>
          </w:tcPr>
          <w:p w14:paraId="67254ACA"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95.2</w:t>
            </w:r>
          </w:p>
        </w:tc>
        <w:tc>
          <w:tcPr>
            <w:tcW w:w="525" w:type="pct"/>
            <w:vAlign w:val="center"/>
            <w:hideMark/>
          </w:tcPr>
          <w:p w14:paraId="1CB31CCD"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[94.1 – 96.3]</w:t>
            </w:r>
          </w:p>
        </w:tc>
        <w:tc>
          <w:tcPr>
            <w:tcW w:w="541" w:type="pct"/>
            <w:vAlign w:val="center"/>
            <w:hideMark/>
          </w:tcPr>
          <w:p w14:paraId="1E649541"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93.5</w:t>
            </w:r>
          </w:p>
        </w:tc>
        <w:tc>
          <w:tcPr>
            <w:tcW w:w="525" w:type="pct"/>
            <w:vAlign w:val="center"/>
            <w:hideMark/>
          </w:tcPr>
          <w:p w14:paraId="13BE9B9C"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[92.3 – 94.7]</w:t>
            </w:r>
          </w:p>
        </w:tc>
        <w:tc>
          <w:tcPr>
            <w:tcW w:w="849" w:type="pct"/>
            <w:vAlign w:val="center"/>
            <w:hideMark/>
          </w:tcPr>
          <w:p w14:paraId="12645D9B"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&lt; 0.001</w:t>
            </w:r>
          </w:p>
        </w:tc>
      </w:tr>
      <w:tr w:rsidR="00F84376" w:rsidRPr="00F84376" w14:paraId="65A54CF7" w14:textId="77777777" w:rsidTr="00826F9C">
        <w:tc>
          <w:tcPr>
            <w:tcW w:w="586" w:type="pct"/>
            <w:vAlign w:val="center"/>
            <w:hideMark/>
          </w:tcPr>
          <w:p w14:paraId="3AD8D7CD"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proofErr w:type="spellStart"/>
            <w:r w:rsidRPr="00F84376">
              <w:rPr>
                <w:rFonts w:asciiTheme="majorBidi" w:hAnsiTheme="majorBidi" w:cstheme="majorBidi"/>
                <w:color w:val="000000"/>
                <w:sz w:val="20"/>
                <w:szCs w:val="20"/>
                <w14:textFill>
                  <w14:solidFill>
                    <w14:srgbClr w14:val="000000">
                      <w14:alpha w14:val="3000"/>
                    </w14:srgbClr>
                  </w14:solidFill>
                </w14:textFill>
              </w:rPr>
              <w:t>YOLOv8</w:t>
            </w:r>
            <w:proofErr w:type="spellEnd"/>
          </w:p>
        </w:tc>
        <w:tc>
          <w:tcPr>
            <w:tcW w:w="751" w:type="pct"/>
            <w:vAlign w:val="center"/>
            <w:hideMark/>
          </w:tcPr>
          <w:p w14:paraId="2BDBAC57"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96.2</w:t>
            </w:r>
          </w:p>
        </w:tc>
        <w:tc>
          <w:tcPr>
            <w:tcW w:w="525" w:type="pct"/>
            <w:vAlign w:val="center"/>
            <w:hideMark/>
          </w:tcPr>
          <w:p w14:paraId="256F496B"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[95.3 – 97.1]</w:t>
            </w:r>
          </w:p>
        </w:tc>
        <w:tc>
          <w:tcPr>
            <w:tcW w:w="699" w:type="pct"/>
            <w:vAlign w:val="center"/>
            <w:hideMark/>
          </w:tcPr>
          <w:p w14:paraId="3960501C"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97.1</w:t>
            </w:r>
          </w:p>
        </w:tc>
        <w:tc>
          <w:tcPr>
            <w:tcW w:w="525" w:type="pct"/>
            <w:vAlign w:val="center"/>
            <w:hideMark/>
          </w:tcPr>
          <w:p w14:paraId="3EEE0B87"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[96.2 – 97.9]</w:t>
            </w:r>
          </w:p>
        </w:tc>
        <w:tc>
          <w:tcPr>
            <w:tcW w:w="541" w:type="pct"/>
            <w:vAlign w:val="center"/>
            <w:hideMark/>
          </w:tcPr>
          <w:p w14:paraId="4D3D0D37"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95.8</w:t>
            </w:r>
          </w:p>
        </w:tc>
        <w:tc>
          <w:tcPr>
            <w:tcW w:w="525" w:type="pct"/>
            <w:vAlign w:val="center"/>
            <w:hideMark/>
          </w:tcPr>
          <w:p w14:paraId="3A30C249"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[94.7 – 96.9]</w:t>
            </w:r>
          </w:p>
        </w:tc>
        <w:tc>
          <w:tcPr>
            <w:tcW w:w="849" w:type="pct"/>
            <w:vAlign w:val="center"/>
            <w:hideMark/>
          </w:tcPr>
          <w:p w14:paraId="7B9A330C"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&lt; 0.001</w:t>
            </w:r>
          </w:p>
        </w:tc>
      </w:tr>
    </w:tbl>
    <w:p w14:paraId="11869871"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676B3575" w14:textId="18040243" w:rsidR="00312F33" w:rsidRPr="00F84376" w:rsidRDefault="00CC3657" w:rsidP="00731FAD">
      <w:pPr>
        <w:spacing w:after="0"/>
        <w:jc w:val="both"/>
        <w:rPr>
          <w:rFonts w:asciiTheme="majorBidi" w:hAnsiTheme="majorBidi" w:cstheme="majorBidi"/>
          <w:color w:val="000000"/>
          <w:sz w:val="24"/>
          <w:szCs w:val="24"/>
          <w:rtl/>
          <w14:textFill>
            <w14:solidFill>
              <w14:srgbClr w14:val="000000">
                <w14:alpha w14:val="3000"/>
              </w14:srgbClr>
            </w14:solidFill>
          </w14:textFill>
        </w:rPr>
      </w:pPr>
      <w:r>
        <w:rPr>
          <w:rFonts w:asciiTheme="majorBidi" w:hAnsiTheme="majorBidi" w:cstheme="majorBidi"/>
          <w:color w:val="000000"/>
          <w:sz w:val="24"/>
          <w:szCs w:val="24"/>
          <w14:textFill>
            <w14:solidFill>
              <w14:srgbClr w14:val="000000">
                <w14:alpha w14:val="3000"/>
              </w14:srgbClr>
            </w14:solidFill>
          </w14:textFill>
        </w:rPr>
        <w:t xml:space="preserve">In </w:t>
      </w:r>
      <w:r w:rsidR="00521BB4" w:rsidRPr="00F84376">
        <w:rPr>
          <w:rFonts w:asciiTheme="majorBidi" w:hAnsiTheme="majorBidi" w:cstheme="majorBidi"/>
          <w:color w:val="000000"/>
          <w:sz w:val="24"/>
          <w:szCs w:val="24"/>
          <w14:textFill>
            <w14:solidFill>
              <w14:srgbClr w14:val="000000">
                <w14:alpha w14:val="3000"/>
              </w14:srgbClr>
            </w14:solidFill>
          </w14:textFill>
        </w:rPr>
        <w:t xml:space="preserve">table presents a statistical comparison between different YOLO architectures in terms of precision, recall, and </w:t>
      </w:r>
      <w:proofErr w:type="spellStart"/>
      <w:r w:rsidR="00521BB4" w:rsidRPr="00F84376">
        <w:rPr>
          <w:rFonts w:asciiTheme="majorBidi" w:hAnsiTheme="majorBidi" w:cstheme="majorBidi"/>
          <w:color w:val="000000"/>
          <w:sz w:val="24"/>
          <w:szCs w:val="24"/>
          <w14:textFill>
            <w14:solidFill>
              <w14:srgbClr w14:val="000000">
                <w14:alpha w14:val="3000"/>
              </w14:srgbClr>
            </w14:solidFill>
          </w14:textFill>
        </w:rPr>
        <w:t>mAP</w:t>
      </w:r>
      <w:proofErr w:type="spellEnd"/>
      <w:r w:rsidR="00521BB4" w:rsidRPr="00F84376">
        <w:rPr>
          <w:rFonts w:asciiTheme="majorBidi" w:hAnsiTheme="majorBidi" w:cstheme="majorBidi"/>
          <w:color w:val="000000"/>
          <w:sz w:val="24"/>
          <w:szCs w:val="24"/>
          <w14:textFill>
            <w14:solidFill>
              <w14:srgbClr w14:val="000000">
                <w14:alpha w14:val="3000"/>
              </w14:srgbClr>
            </w14:solidFill>
          </w14:textFill>
        </w:rPr>
        <w:t xml:space="preserve">, showing that </w:t>
      </w:r>
      <w:proofErr w:type="spellStart"/>
      <w:r w:rsidR="00521BB4" w:rsidRPr="00F84376">
        <w:rPr>
          <w:rFonts w:asciiTheme="majorBidi" w:hAnsiTheme="majorBidi" w:cstheme="majorBidi"/>
          <w:color w:val="000000"/>
          <w:sz w:val="24"/>
          <w:szCs w:val="24"/>
          <w14:textFill>
            <w14:solidFill>
              <w14:srgbClr w14:val="000000">
                <w14:alpha w14:val="3000"/>
              </w14:srgbClr>
            </w14:solidFill>
          </w14:textFill>
        </w:rPr>
        <w:t>YOLOv8</w:t>
      </w:r>
      <w:proofErr w:type="spellEnd"/>
      <w:r w:rsidR="00521BB4" w:rsidRPr="00F84376">
        <w:rPr>
          <w:rFonts w:asciiTheme="majorBidi" w:hAnsiTheme="majorBidi" w:cstheme="majorBidi"/>
          <w:color w:val="000000"/>
          <w:sz w:val="24"/>
          <w:szCs w:val="24"/>
          <w14:textFill>
            <w14:solidFill>
              <w14:srgbClr w14:val="000000">
                <w14:alpha w14:val="3000"/>
              </w14:srgbClr>
            </w14:solidFill>
          </w14:textFill>
        </w:rPr>
        <w:t xml:space="preserve"> achieved superior performance across all metrics with highly significant differences (p &lt; 0.001).</w:t>
      </w:r>
    </w:p>
    <w:p w14:paraId="6024C8CA"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7E37D082" w14:textId="77777777" w:rsidR="00312F33" w:rsidRPr="00F84376" w:rsidRDefault="00312F33" w:rsidP="00826F9C">
      <w:pPr>
        <w:pStyle w:val="a"/>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t>Table 3: Statistical Analysis of Augmentation Strategies</w:t>
      </w:r>
    </w:p>
    <w:tbl>
      <w:tblPr>
        <w:tblStyle w:val="TableGrid"/>
        <w:tblW w:w="5000" w:type="pct"/>
        <w:tblLook w:val="04A0" w:firstRow="1" w:lastRow="0" w:firstColumn="1" w:lastColumn="0" w:noHBand="0" w:noVBand="1"/>
      </w:tblPr>
      <w:tblGrid>
        <w:gridCol w:w="2269"/>
        <w:gridCol w:w="1492"/>
        <w:gridCol w:w="2262"/>
        <w:gridCol w:w="1372"/>
        <w:gridCol w:w="979"/>
        <w:gridCol w:w="2194"/>
      </w:tblGrid>
      <w:tr w:rsidR="00F84376" w:rsidRPr="00F84376" w14:paraId="14E2645D" w14:textId="77777777" w:rsidTr="00826F9C">
        <w:tc>
          <w:tcPr>
            <w:tcW w:w="1074" w:type="pct"/>
            <w:vAlign w:val="center"/>
            <w:hideMark/>
          </w:tcPr>
          <w:p w14:paraId="3E471758"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Augmentation Method</w:t>
            </w:r>
          </w:p>
        </w:tc>
        <w:tc>
          <w:tcPr>
            <w:tcW w:w="706" w:type="pct"/>
            <w:vAlign w:val="center"/>
            <w:hideMark/>
          </w:tcPr>
          <w:p w14:paraId="48575838"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proofErr w:type="spellStart"/>
            <w:r w:rsidRPr="00F84376">
              <w:rPr>
                <w:rFonts w:asciiTheme="majorBidi" w:hAnsiTheme="majorBidi" w:cstheme="majorBidi"/>
                <w:b/>
                <w:bCs/>
                <w:color w:val="000000"/>
                <w:sz w:val="20"/>
                <w:szCs w:val="20"/>
                <w14:textFill>
                  <w14:solidFill>
                    <w14:srgbClr w14:val="000000">
                      <w14:alpha w14:val="3000"/>
                    </w14:srgbClr>
                  </w14:solidFill>
                </w14:textFill>
              </w:rPr>
              <w:t>mAP@0.5</w:t>
            </w:r>
            <w:proofErr w:type="spellEnd"/>
            <w:r w:rsidRPr="00F84376">
              <w:rPr>
                <w:rFonts w:asciiTheme="majorBidi" w:hAnsiTheme="majorBidi" w:cstheme="majorBidi"/>
                <w:b/>
                <w:bCs/>
                <w:color w:val="000000"/>
                <w:sz w:val="20"/>
                <w:szCs w:val="20"/>
                <w14:textFill>
                  <w14:solidFill>
                    <w14:srgbClr w14:val="000000">
                      <w14:alpha w14:val="3000"/>
                    </w14:srgbClr>
                  </w14:solidFill>
                </w14:textFill>
              </w:rPr>
              <w:t xml:space="preserve"> (%)</w:t>
            </w:r>
          </w:p>
        </w:tc>
        <w:tc>
          <w:tcPr>
            <w:tcW w:w="1070" w:type="pct"/>
            <w:vAlign w:val="center"/>
            <w:hideMark/>
          </w:tcPr>
          <w:p w14:paraId="59E04099"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 xml:space="preserve">Δ </w:t>
            </w:r>
            <w:proofErr w:type="spellStart"/>
            <w:r w:rsidRPr="00F84376">
              <w:rPr>
                <w:rFonts w:asciiTheme="majorBidi" w:hAnsiTheme="majorBidi" w:cstheme="majorBidi"/>
                <w:b/>
                <w:bCs/>
                <w:color w:val="000000"/>
                <w:sz w:val="20"/>
                <w:szCs w:val="20"/>
                <w14:textFill>
                  <w14:solidFill>
                    <w14:srgbClr w14:val="000000">
                      <w14:alpha w14:val="3000"/>
                    </w14:srgbClr>
                  </w14:solidFill>
                </w14:textFill>
              </w:rPr>
              <w:t>mAP</w:t>
            </w:r>
            <w:proofErr w:type="spellEnd"/>
            <w:r w:rsidRPr="00F84376">
              <w:rPr>
                <w:rFonts w:asciiTheme="majorBidi" w:hAnsiTheme="majorBidi" w:cstheme="majorBidi"/>
                <w:b/>
                <w:bCs/>
                <w:color w:val="000000"/>
                <w:sz w:val="20"/>
                <w:szCs w:val="20"/>
                <w14:textFill>
                  <w14:solidFill>
                    <w14:srgbClr w14:val="000000">
                      <w14:alpha w14:val="3000"/>
                    </w14:srgbClr>
                  </w14:solidFill>
                </w14:textFill>
              </w:rPr>
              <w:t xml:space="preserve"> vs. Baseline (%)</w:t>
            </w:r>
          </w:p>
        </w:tc>
        <w:tc>
          <w:tcPr>
            <w:tcW w:w="649" w:type="pct"/>
            <w:vAlign w:val="center"/>
            <w:hideMark/>
          </w:tcPr>
          <w:p w14:paraId="0B1B08C6"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95% CI</w:t>
            </w:r>
          </w:p>
        </w:tc>
        <w:tc>
          <w:tcPr>
            <w:tcW w:w="463" w:type="pct"/>
            <w:vAlign w:val="center"/>
            <w:hideMark/>
          </w:tcPr>
          <w:p w14:paraId="272C4995"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p-value</w:t>
            </w:r>
          </w:p>
        </w:tc>
        <w:tc>
          <w:tcPr>
            <w:tcW w:w="1038" w:type="pct"/>
            <w:vAlign w:val="center"/>
            <w:hideMark/>
          </w:tcPr>
          <w:p w14:paraId="690F8EB3"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Effect Size (Cohen’s d)</w:t>
            </w:r>
          </w:p>
        </w:tc>
      </w:tr>
      <w:tr w:rsidR="00F84376" w:rsidRPr="00F84376" w14:paraId="70811C3E" w14:textId="77777777" w:rsidTr="00826F9C">
        <w:tc>
          <w:tcPr>
            <w:tcW w:w="1074" w:type="pct"/>
            <w:vAlign w:val="center"/>
            <w:hideMark/>
          </w:tcPr>
          <w:p w14:paraId="4C30F683"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No Augmentation</w:t>
            </w:r>
          </w:p>
        </w:tc>
        <w:tc>
          <w:tcPr>
            <w:tcW w:w="706" w:type="pct"/>
            <w:vAlign w:val="center"/>
            <w:hideMark/>
          </w:tcPr>
          <w:p w14:paraId="0D6DD84F"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87.50</w:t>
            </w:r>
          </w:p>
        </w:tc>
        <w:tc>
          <w:tcPr>
            <w:tcW w:w="1070" w:type="pct"/>
            <w:vAlign w:val="center"/>
            <w:hideMark/>
          </w:tcPr>
          <w:p w14:paraId="4A100493"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Reference</w:t>
            </w:r>
          </w:p>
        </w:tc>
        <w:tc>
          <w:tcPr>
            <w:tcW w:w="649" w:type="pct"/>
            <w:vAlign w:val="center"/>
            <w:hideMark/>
          </w:tcPr>
          <w:p w14:paraId="638C45E1"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[86.10–88.90]</w:t>
            </w:r>
          </w:p>
        </w:tc>
        <w:tc>
          <w:tcPr>
            <w:tcW w:w="463" w:type="pct"/>
            <w:vAlign w:val="center"/>
            <w:hideMark/>
          </w:tcPr>
          <w:p w14:paraId="1761B7B6"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w:t>
            </w:r>
          </w:p>
        </w:tc>
        <w:tc>
          <w:tcPr>
            <w:tcW w:w="1038" w:type="pct"/>
            <w:vAlign w:val="center"/>
            <w:hideMark/>
          </w:tcPr>
          <w:p w14:paraId="1AD174F8"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w:t>
            </w:r>
          </w:p>
        </w:tc>
      </w:tr>
      <w:tr w:rsidR="00F84376" w:rsidRPr="00F84376" w14:paraId="019A5AD3" w14:textId="77777777" w:rsidTr="00826F9C">
        <w:tc>
          <w:tcPr>
            <w:tcW w:w="1074" w:type="pct"/>
            <w:vAlign w:val="center"/>
            <w:hideMark/>
          </w:tcPr>
          <w:p w14:paraId="242561AC"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Traditional Only</w:t>
            </w:r>
          </w:p>
        </w:tc>
        <w:tc>
          <w:tcPr>
            <w:tcW w:w="706" w:type="pct"/>
            <w:vAlign w:val="center"/>
            <w:hideMark/>
          </w:tcPr>
          <w:p w14:paraId="4920D3BB"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91.80</w:t>
            </w:r>
          </w:p>
        </w:tc>
        <w:tc>
          <w:tcPr>
            <w:tcW w:w="1070" w:type="pct"/>
            <w:vAlign w:val="center"/>
            <w:hideMark/>
          </w:tcPr>
          <w:p w14:paraId="0B679B62"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+4.30</w:t>
            </w:r>
          </w:p>
        </w:tc>
        <w:tc>
          <w:tcPr>
            <w:tcW w:w="649" w:type="pct"/>
            <w:vAlign w:val="center"/>
            <w:hideMark/>
          </w:tcPr>
          <w:p w14:paraId="20C0A80A"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[90.50–93.10]</w:t>
            </w:r>
          </w:p>
        </w:tc>
        <w:tc>
          <w:tcPr>
            <w:tcW w:w="463" w:type="pct"/>
            <w:vAlign w:val="center"/>
            <w:hideMark/>
          </w:tcPr>
          <w:p w14:paraId="19FB4C45"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&lt;0.001 ()</w:t>
            </w:r>
          </w:p>
        </w:tc>
        <w:tc>
          <w:tcPr>
            <w:tcW w:w="1038" w:type="pct"/>
            <w:vAlign w:val="center"/>
            <w:hideMark/>
          </w:tcPr>
          <w:p w14:paraId="58A9B53A"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0.89 (Large)</w:t>
            </w:r>
          </w:p>
        </w:tc>
      </w:tr>
      <w:tr w:rsidR="00F84376" w:rsidRPr="00F84376" w14:paraId="4F5BB91C" w14:textId="77777777" w:rsidTr="00826F9C">
        <w:tc>
          <w:tcPr>
            <w:tcW w:w="1074" w:type="pct"/>
            <w:vAlign w:val="center"/>
            <w:hideMark/>
          </w:tcPr>
          <w:p w14:paraId="199B0195"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GAN-Based Only</w:t>
            </w:r>
          </w:p>
        </w:tc>
        <w:tc>
          <w:tcPr>
            <w:tcW w:w="706" w:type="pct"/>
            <w:vAlign w:val="center"/>
            <w:hideMark/>
          </w:tcPr>
          <w:p w14:paraId="6A987C0E"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94.30</w:t>
            </w:r>
          </w:p>
        </w:tc>
        <w:tc>
          <w:tcPr>
            <w:tcW w:w="1070" w:type="pct"/>
            <w:vAlign w:val="center"/>
            <w:hideMark/>
          </w:tcPr>
          <w:p w14:paraId="76DC2300"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+6.80</w:t>
            </w:r>
          </w:p>
        </w:tc>
        <w:tc>
          <w:tcPr>
            <w:tcW w:w="649" w:type="pct"/>
            <w:vAlign w:val="center"/>
            <w:hideMark/>
          </w:tcPr>
          <w:p w14:paraId="7637AD89"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[93.20–95.40]</w:t>
            </w:r>
          </w:p>
        </w:tc>
        <w:tc>
          <w:tcPr>
            <w:tcW w:w="463" w:type="pct"/>
            <w:vAlign w:val="center"/>
            <w:hideMark/>
          </w:tcPr>
          <w:p w14:paraId="51094865"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&lt;0.001 ()</w:t>
            </w:r>
          </w:p>
        </w:tc>
        <w:tc>
          <w:tcPr>
            <w:tcW w:w="1038" w:type="pct"/>
            <w:vAlign w:val="center"/>
            <w:hideMark/>
          </w:tcPr>
          <w:p w14:paraId="6C2B2C9F"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1.42 (Very Large)</w:t>
            </w:r>
          </w:p>
        </w:tc>
      </w:tr>
      <w:tr w:rsidR="00F84376" w:rsidRPr="00F84376" w14:paraId="44A1F06E" w14:textId="77777777" w:rsidTr="00826F9C">
        <w:tc>
          <w:tcPr>
            <w:tcW w:w="1074" w:type="pct"/>
            <w:vAlign w:val="center"/>
            <w:hideMark/>
          </w:tcPr>
          <w:p w14:paraId="0CD95000"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Combined Augmentation</w:t>
            </w:r>
          </w:p>
        </w:tc>
        <w:tc>
          <w:tcPr>
            <w:tcW w:w="706" w:type="pct"/>
            <w:vAlign w:val="center"/>
            <w:hideMark/>
          </w:tcPr>
          <w:p w14:paraId="07DEC7E6"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96.20</w:t>
            </w:r>
          </w:p>
        </w:tc>
        <w:tc>
          <w:tcPr>
            <w:tcW w:w="1070" w:type="pct"/>
            <w:vAlign w:val="center"/>
            <w:hideMark/>
          </w:tcPr>
          <w:p w14:paraId="08A7895E"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+8.70</w:t>
            </w:r>
          </w:p>
        </w:tc>
        <w:tc>
          <w:tcPr>
            <w:tcW w:w="649" w:type="pct"/>
            <w:vAlign w:val="center"/>
            <w:hideMark/>
          </w:tcPr>
          <w:p w14:paraId="1E4D8137"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[95.30–97.10]</w:t>
            </w:r>
          </w:p>
        </w:tc>
        <w:tc>
          <w:tcPr>
            <w:tcW w:w="463" w:type="pct"/>
            <w:vAlign w:val="center"/>
            <w:hideMark/>
          </w:tcPr>
          <w:p w14:paraId="1E62D8F3"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&lt;0.001 ()</w:t>
            </w:r>
          </w:p>
        </w:tc>
        <w:tc>
          <w:tcPr>
            <w:tcW w:w="1038" w:type="pct"/>
            <w:vAlign w:val="center"/>
            <w:hideMark/>
          </w:tcPr>
          <w:p w14:paraId="51299E12"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1.87 (Very Large)</w:t>
            </w:r>
          </w:p>
        </w:tc>
      </w:tr>
    </w:tbl>
    <w:p w14:paraId="13918847" w14:textId="1D13386E"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6B4A32FF" w14:textId="381DCBB2" w:rsidR="00521BB4" w:rsidRPr="00F84376" w:rsidRDefault="00CC3657" w:rsidP="00826F9C">
      <w:pPr>
        <w:pStyle w:val="22222"/>
        <w:rPr>
          <w:color w:val="000000"/>
          <w:rtl/>
          <w14:textFill>
            <w14:solidFill>
              <w14:srgbClr w14:val="000000">
                <w14:alpha w14:val="3000"/>
              </w14:srgbClr>
            </w14:solidFill>
          </w14:textFill>
        </w:rPr>
      </w:pPr>
      <w:r>
        <w:rPr>
          <w:color w:val="000000"/>
          <w14:textFill>
            <w14:solidFill>
              <w14:srgbClr w14:val="000000">
                <w14:alpha w14:val="3000"/>
              </w14:srgbClr>
            </w14:solidFill>
          </w14:textFill>
        </w:rPr>
        <w:t>In</w:t>
      </w:r>
      <w:r w:rsidR="00521BB4" w:rsidRPr="00F84376">
        <w:rPr>
          <w:color w:val="000000"/>
          <w14:textFill>
            <w14:solidFill>
              <w14:srgbClr w14:val="000000">
                <w14:alpha w14:val="3000"/>
              </w14:srgbClr>
            </w14:solidFill>
          </w14:textFill>
        </w:rPr>
        <w:t xml:space="preserve"> table </w:t>
      </w:r>
      <w:r>
        <w:rPr>
          <w:color w:val="000000"/>
          <w14:textFill>
            <w14:solidFill>
              <w14:srgbClr w14:val="000000">
                <w14:alpha w14:val="3000"/>
              </w14:srgbClr>
            </w14:solidFill>
          </w14:textFill>
        </w:rPr>
        <w:t xml:space="preserve">3, </w:t>
      </w:r>
      <w:r w:rsidR="00521BB4" w:rsidRPr="00F84376">
        <w:rPr>
          <w:color w:val="000000"/>
          <w14:textFill>
            <w14:solidFill>
              <w14:srgbClr w14:val="000000">
                <w14:alpha w14:val="3000"/>
              </w14:srgbClr>
            </w14:solidFill>
          </w14:textFill>
        </w:rPr>
        <w:t>illustrates the impact of various data augmentation methods on model performance, demonstrating that the combination of GAN-based and traditional augmentation achieved the highest detection accuracy (</w:t>
      </w:r>
      <w:proofErr w:type="spellStart"/>
      <w:r w:rsidR="00521BB4" w:rsidRPr="00F84376">
        <w:rPr>
          <w:color w:val="000000"/>
          <w14:textFill>
            <w14:solidFill>
              <w14:srgbClr w14:val="000000">
                <w14:alpha w14:val="3000"/>
              </w14:srgbClr>
            </w14:solidFill>
          </w14:textFill>
        </w:rPr>
        <w:t>mAP</w:t>
      </w:r>
      <w:proofErr w:type="spellEnd"/>
      <w:r w:rsidR="00521BB4" w:rsidRPr="00F84376">
        <w:rPr>
          <w:color w:val="000000"/>
          <w14:textFill>
            <w14:solidFill>
              <w14:srgbClr w14:val="000000">
                <w14:alpha w14:val="3000"/>
              </w14:srgbClr>
            </w14:solidFill>
          </w14:textFill>
        </w:rPr>
        <w:t xml:space="preserve"> = 96.2%).</w:t>
      </w:r>
    </w:p>
    <w:p w14:paraId="2EE59A39"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395A574C" w14:textId="77777777" w:rsidR="00312F33" w:rsidRPr="00F84376" w:rsidRDefault="00312F33" w:rsidP="00826F9C">
      <w:pPr>
        <w:pStyle w:val="a"/>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t>Table 4: Comprehensive Correlation Statistics</w:t>
      </w:r>
    </w:p>
    <w:tbl>
      <w:tblPr>
        <w:tblStyle w:val="TableGrid"/>
        <w:tblW w:w="5000" w:type="pct"/>
        <w:tblLook w:val="04A0" w:firstRow="1" w:lastRow="0" w:firstColumn="1" w:lastColumn="0" w:noHBand="0" w:noVBand="1"/>
      </w:tblPr>
      <w:tblGrid>
        <w:gridCol w:w="1976"/>
        <w:gridCol w:w="2033"/>
        <w:gridCol w:w="850"/>
        <w:gridCol w:w="1551"/>
        <w:gridCol w:w="2321"/>
        <w:gridCol w:w="1837"/>
      </w:tblGrid>
      <w:tr w:rsidR="00F84376" w:rsidRPr="00F84376" w14:paraId="0FAB3C20" w14:textId="77777777" w:rsidTr="00826F9C">
        <w:tc>
          <w:tcPr>
            <w:tcW w:w="935" w:type="pct"/>
            <w:vAlign w:val="center"/>
            <w:hideMark/>
          </w:tcPr>
          <w:p w14:paraId="59D3C93D"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Comparison</w:t>
            </w:r>
          </w:p>
        </w:tc>
        <w:tc>
          <w:tcPr>
            <w:tcW w:w="962" w:type="pct"/>
            <w:vAlign w:val="center"/>
            <w:hideMark/>
          </w:tcPr>
          <w:p w14:paraId="2CDBFFB4"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Pearson’s r (95% CI)</w:t>
            </w:r>
          </w:p>
        </w:tc>
        <w:tc>
          <w:tcPr>
            <w:tcW w:w="402" w:type="pct"/>
            <w:vAlign w:val="center"/>
            <w:hideMark/>
          </w:tcPr>
          <w:p w14:paraId="0EED6E5E"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p-value</w:t>
            </w:r>
          </w:p>
        </w:tc>
        <w:tc>
          <w:tcPr>
            <w:tcW w:w="734" w:type="pct"/>
            <w:vAlign w:val="center"/>
            <w:hideMark/>
          </w:tcPr>
          <w:p w14:paraId="45AFB4AF"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ICC (95% CI)</w:t>
            </w:r>
          </w:p>
        </w:tc>
        <w:tc>
          <w:tcPr>
            <w:tcW w:w="1098" w:type="pct"/>
            <w:vAlign w:val="center"/>
            <w:hideMark/>
          </w:tcPr>
          <w:p w14:paraId="00B381AF"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Mean Bias (platelets/</w:t>
            </w:r>
            <w:proofErr w:type="spellStart"/>
            <w:r w:rsidRPr="00F84376">
              <w:rPr>
                <w:rFonts w:asciiTheme="majorBidi" w:hAnsiTheme="majorBidi" w:cstheme="majorBidi"/>
                <w:b/>
                <w:bCs/>
                <w:color w:val="000000"/>
                <w:sz w:val="20"/>
                <w:szCs w:val="20"/>
                <w14:textFill>
                  <w14:solidFill>
                    <w14:srgbClr w14:val="000000">
                      <w14:alpha w14:val="3000"/>
                    </w14:srgbClr>
                  </w14:solidFill>
                </w14:textFill>
              </w:rPr>
              <w:t>μL</w:t>
            </w:r>
            <w:proofErr w:type="spellEnd"/>
            <w:r w:rsidRPr="00F84376">
              <w:rPr>
                <w:rFonts w:asciiTheme="majorBidi" w:hAnsiTheme="majorBidi" w:cstheme="majorBidi"/>
                <w:b/>
                <w:bCs/>
                <w:color w:val="000000"/>
                <w:sz w:val="20"/>
                <w:szCs w:val="20"/>
                <w14:textFill>
                  <w14:solidFill>
                    <w14:srgbClr w14:val="000000">
                      <w14:alpha w14:val="3000"/>
                    </w14:srgbClr>
                  </w14:solidFill>
                </w14:textFill>
              </w:rPr>
              <w:t>)</w:t>
            </w:r>
          </w:p>
        </w:tc>
        <w:tc>
          <w:tcPr>
            <w:tcW w:w="869" w:type="pct"/>
            <w:vAlign w:val="center"/>
            <w:hideMark/>
          </w:tcPr>
          <w:p w14:paraId="0182BD77"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LOA (platelets/</w:t>
            </w:r>
            <w:proofErr w:type="spellStart"/>
            <w:r w:rsidRPr="00F84376">
              <w:rPr>
                <w:rFonts w:asciiTheme="majorBidi" w:hAnsiTheme="majorBidi" w:cstheme="majorBidi"/>
                <w:b/>
                <w:bCs/>
                <w:color w:val="000000"/>
                <w:sz w:val="20"/>
                <w:szCs w:val="20"/>
                <w14:textFill>
                  <w14:solidFill>
                    <w14:srgbClr w14:val="000000">
                      <w14:alpha w14:val="3000"/>
                    </w14:srgbClr>
                  </w14:solidFill>
                </w14:textFill>
              </w:rPr>
              <w:t>μL</w:t>
            </w:r>
            <w:proofErr w:type="spellEnd"/>
            <w:r w:rsidRPr="00F84376">
              <w:rPr>
                <w:rFonts w:asciiTheme="majorBidi" w:hAnsiTheme="majorBidi" w:cstheme="majorBidi"/>
                <w:b/>
                <w:bCs/>
                <w:color w:val="000000"/>
                <w:sz w:val="20"/>
                <w:szCs w:val="20"/>
                <w14:textFill>
                  <w14:solidFill>
                    <w14:srgbClr w14:val="000000">
                      <w14:alpha w14:val="3000"/>
                    </w14:srgbClr>
                  </w14:solidFill>
                </w14:textFill>
              </w:rPr>
              <w:t>)</w:t>
            </w:r>
          </w:p>
        </w:tc>
      </w:tr>
      <w:tr w:rsidR="00F84376" w:rsidRPr="00F84376" w14:paraId="0DF467AF" w14:textId="77777777" w:rsidTr="00826F9C">
        <w:tc>
          <w:tcPr>
            <w:tcW w:w="935" w:type="pct"/>
            <w:vAlign w:val="center"/>
            <w:hideMark/>
          </w:tcPr>
          <w:p w14:paraId="372E57F3"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 xml:space="preserve">Manual vs </w:t>
            </w:r>
            <w:proofErr w:type="spellStart"/>
            <w:r w:rsidRPr="00F84376">
              <w:rPr>
                <w:rFonts w:asciiTheme="majorBidi" w:hAnsiTheme="majorBidi" w:cstheme="majorBidi"/>
                <w:color w:val="000000"/>
                <w:sz w:val="20"/>
                <w:szCs w:val="20"/>
                <w14:textFill>
                  <w14:solidFill>
                    <w14:srgbClr w14:val="000000">
                      <w14:alpha w14:val="3000"/>
                    </w14:srgbClr>
                  </w14:solidFill>
                </w14:textFill>
              </w:rPr>
              <w:t>YOLOv8</w:t>
            </w:r>
            <w:proofErr w:type="spellEnd"/>
          </w:p>
        </w:tc>
        <w:tc>
          <w:tcPr>
            <w:tcW w:w="962" w:type="pct"/>
            <w:vAlign w:val="center"/>
            <w:hideMark/>
          </w:tcPr>
          <w:p w14:paraId="07F0D8F0"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0.98 (0.97–0.99)</w:t>
            </w:r>
          </w:p>
        </w:tc>
        <w:tc>
          <w:tcPr>
            <w:tcW w:w="402" w:type="pct"/>
            <w:vAlign w:val="center"/>
            <w:hideMark/>
          </w:tcPr>
          <w:p w14:paraId="3DBF2E47"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&lt;0.001</w:t>
            </w:r>
          </w:p>
        </w:tc>
        <w:tc>
          <w:tcPr>
            <w:tcW w:w="734" w:type="pct"/>
            <w:vAlign w:val="center"/>
            <w:hideMark/>
          </w:tcPr>
          <w:p w14:paraId="6A5F3162"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0.97 (0.96–0.98)</w:t>
            </w:r>
          </w:p>
        </w:tc>
        <w:tc>
          <w:tcPr>
            <w:tcW w:w="1098" w:type="pct"/>
            <w:vAlign w:val="center"/>
            <w:hideMark/>
          </w:tcPr>
          <w:p w14:paraId="60F66367"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+2.3</w:t>
            </w:r>
          </w:p>
        </w:tc>
        <w:tc>
          <w:tcPr>
            <w:tcW w:w="869" w:type="pct"/>
            <w:vAlign w:val="center"/>
            <w:hideMark/>
          </w:tcPr>
          <w:p w14:paraId="67504859"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±12.3</w:t>
            </w:r>
          </w:p>
        </w:tc>
      </w:tr>
      <w:tr w:rsidR="00F84376" w:rsidRPr="00F84376" w14:paraId="3D2FE00B" w14:textId="77777777" w:rsidTr="00826F9C">
        <w:tc>
          <w:tcPr>
            <w:tcW w:w="935" w:type="pct"/>
            <w:vAlign w:val="center"/>
            <w:hideMark/>
          </w:tcPr>
          <w:p w14:paraId="743A66E2"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 xml:space="preserve">Analyzer vs </w:t>
            </w:r>
            <w:proofErr w:type="spellStart"/>
            <w:r w:rsidRPr="00F84376">
              <w:rPr>
                <w:rFonts w:asciiTheme="majorBidi" w:hAnsiTheme="majorBidi" w:cstheme="majorBidi"/>
                <w:color w:val="000000"/>
                <w:sz w:val="20"/>
                <w:szCs w:val="20"/>
                <w14:textFill>
                  <w14:solidFill>
                    <w14:srgbClr w14:val="000000">
                      <w14:alpha w14:val="3000"/>
                    </w14:srgbClr>
                  </w14:solidFill>
                </w14:textFill>
              </w:rPr>
              <w:t>YOLOv8</w:t>
            </w:r>
            <w:proofErr w:type="spellEnd"/>
          </w:p>
        </w:tc>
        <w:tc>
          <w:tcPr>
            <w:tcW w:w="962" w:type="pct"/>
            <w:vAlign w:val="center"/>
            <w:hideMark/>
          </w:tcPr>
          <w:p w14:paraId="7F89E2C9"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0.96 (0.95–0.97)</w:t>
            </w:r>
          </w:p>
        </w:tc>
        <w:tc>
          <w:tcPr>
            <w:tcW w:w="402" w:type="pct"/>
            <w:vAlign w:val="center"/>
            <w:hideMark/>
          </w:tcPr>
          <w:p w14:paraId="67CE2E6E"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&lt;0.001</w:t>
            </w:r>
          </w:p>
        </w:tc>
        <w:tc>
          <w:tcPr>
            <w:tcW w:w="734" w:type="pct"/>
            <w:vAlign w:val="center"/>
            <w:hideMark/>
          </w:tcPr>
          <w:p w14:paraId="6BD82413"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0.95 (0.93–0.96)</w:t>
            </w:r>
          </w:p>
        </w:tc>
        <w:tc>
          <w:tcPr>
            <w:tcW w:w="1098" w:type="pct"/>
            <w:vAlign w:val="center"/>
            <w:hideMark/>
          </w:tcPr>
          <w:p w14:paraId="5DECDF3E"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–1.8</w:t>
            </w:r>
          </w:p>
        </w:tc>
        <w:tc>
          <w:tcPr>
            <w:tcW w:w="869" w:type="pct"/>
            <w:vAlign w:val="center"/>
            <w:hideMark/>
          </w:tcPr>
          <w:p w14:paraId="633D2E8E"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±15.7</w:t>
            </w:r>
          </w:p>
        </w:tc>
      </w:tr>
    </w:tbl>
    <w:p w14:paraId="70B2D365"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0E88A00D" w14:textId="502E1B07" w:rsidR="00312F33" w:rsidRPr="00F84376" w:rsidRDefault="00CC3657"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Pr>
          <w:rFonts w:asciiTheme="majorBidi" w:hAnsiTheme="majorBidi" w:cstheme="majorBidi"/>
          <w:color w:val="000000"/>
          <w:sz w:val="24"/>
          <w:szCs w:val="24"/>
          <w14:textFill>
            <w14:solidFill>
              <w14:srgbClr w14:val="000000">
                <w14:alpha w14:val="3000"/>
              </w14:srgbClr>
            </w14:solidFill>
          </w14:textFill>
        </w:rPr>
        <w:t>In</w:t>
      </w:r>
      <w:r w:rsidR="00521BB4" w:rsidRPr="00F84376">
        <w:rPr>
          <w:rFonts w:asciiTheme="majorBidi" w:hAnsiTheme="majorBidi" w:cstheme="majorBidi"/>
          <w:color w:val="000000"/>
          <w:sz w:val="24"/>
          <w:szCs w:val="24"/>
          <w14:textFill>
            <w14:solidFill>
              <w14:srgbClr w14:val="000000">
                <w14:alpha w14:val="3000"/>
              </w14:srgbClr>
            </w14:solidFill>
          </w14:textFill>
        </w:rPr>
        <w:t xml:space="preserve"> table</w:t>
      </w:r>
      <w:r>
        <w:rPr>
          <w:rFonts w:asciiTheme="majorBidi" w:hAnsiTheme="majorBidi" w:cstheme="majorBidi"/>
          <w:color w:val="000000"/>
          <w:sz w:val="24"/>
          <w:szCs w:val="24"/>
          <w14:textFill>
            <w14:solidFill>
              <w14:srgbClr w14:val="000000">
                <w14:alpha w14:val="3000"/>
              </w14:srgbClr>
            </w14:solidFill>
          </w14:textFill>
        </w:rPr>
        <w:t xml:space="preserve"> 4,</w:t>
      </w:r>
      <w:r w:rsidR="00521BB4" w:rsidRPr="00F84376">
        <w:rPr>
          <w:rFonts w:asciiTheme="majorBidi" w:hAnsiTheme="majorBidi" w:cstheme="majorBidi"/>
          <w:color w:val="000000"/>
          <w:sz w:val="24"/>
          <w:szCs w:val="24"/>
          <w14:textFill>
            <w14:solidFill>
              <w14:srgbClr w14:val="000000">
                <w14:alpha w14:val="3000"/>
              </w14:srgbClr>
            </w14:solidFill>
          </w14:textFill>
        </w:rPr>
        <w:t xml:space="preserve"> summarizes the correlation analysis between </w:t>
      </w:r>
      <w:proofErr w:type="spellStart"/>
      <w:r w:rsidR="00521BB4" w:rsidRPr="00F84376">
        <w:rPr>
          <w:rFonts w:asciiTheme="majorBidi" w:hAnsiTheme="majorBidi" w:cstheme="majorBidi"/>
          <w:color w:val="000000"/>
          <w:sz w:val="24"/>
          <w:szCs w:val="24"/>
          <w14:textFill>
            <w14:solidFill>
              <w14:srgbClr w14:val="000000">
                <w14:alpha w14:val="3000"/>
              </w14:srgbClr>
            </w14:solidFill>
          </w14:textFill>
        </w:rPr>
        <w:t>YOLOv8</w:t>
      </w:r>
      <w:proofErr w:type="spellEnd"/>
      <w:r w:rsidR="00521BB4" w:rsidRPr="00F84376">
        <w:rPr>
          <w:rFonts w:asciiTheme="majorBidi" w:hAnsiTheme="majorBidi" w:cstheme="majorBidi"/>
          <w:color w:val="000000"/>
          <w:sz w:val="24"/>
          <w:szCs w:val="24"/>
          <w14:textFill>
            <w14:solidFill>
              <w14:srgbClr w14:val="000000">
                <w14:alpha w14:val="3000"/>
              </w14:srgbClr>
            </w14:solidFill>
          </w14:textFill>
        </w:rPr>
        <w:t xml:space="preserve"> predictions and both manual and analyzer platelet counts, indicating a very strong agreement (r &gt; 0.95) and minimal bias, confirming the model’s high reliability and clinical consistency.</w:t>
      </w:r>
    </w:p>
    <w:p w14:paraId="70E9ADF0" w14:textId="24CB77AE" w:rsidR="00826F9C" w:rsidRPr="00F84376" w:rsidRDefault="00826F9C"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2CBB17DE" w14:textId="77777777" w:rsidR="005D1E1E" w:rsidRPr="00F84376" w:rsidRDefault="005D1E1E"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167AF3A8" w14:textId="7874F41F" w:rsidR="00312F33" w:rsidRPr="00F84376" w:rsidRDefault="00312F33" w:rsidP="00826F9C">
      <w:pPr>
        <w:pStyle w:val="a"/>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t xml:space="preserve">Table </w:t>
      </w:r>
      <w:r w:rsidR="00D2284C">
        <w:rPr>
          <w:color w:val="000000"/>
          <w14:textFill>
            <w14:solidFill>
              <w14:srgbClr w14:val="000000">
                <w14:alpha w14:val="3000"/>
              </w14:srgbClr>
            </w14:solidFill>
          </w14:textFill>
        </w:rPr>
        <w:t>5</w:t>
      </w:r>
      <w:r w:rsidRPr="00F84376">
        <w:rPr>
          <w:color w:val="000000"/>
          <w14:textFill>
            <w14:solidFill>
              <w14:srgbClr w14:val="000000">
                <w14:alpha w14:val="3000"/>
              </w14:srgbClr>
            </w14:solidFill>
          </w14:textFill>
        </w:rPr>
        <w:t>: Model Performance Stratified by Platelet Density</w:t>
      </w:r>
    </w:p>
    <w:tbl>
      <w:tblPr>
        <w:tblStyle w:val="TableGrid"/>
        <w:tblW w:w="5000" w:type="pct"/>
        <w:tblLook w:val="04A0" w:firstRow="1" w:lastRow="0" w:firstColumn="1" w:lastColumn="0" w:noHBand="0" w:noVBand="1"/>
      </w:tblPr>
      <w:tblGrid>
        <w:gridCol w:w="2455"/>
        <w:gridCol w:w="1643"/>
        <w:gridCol w:w="1336"/>
        <w:gridCol w:w="1596"/>
        <w:gridCol w:w="3538"/>
      </w:tblGrid>
      <w:tr w:rsidR="00F84376" w:rsidRPr="00F84376" w14:paraId="1114749E" w14:textId="77777777" w:rsidTr="00826F9C">
        <w:tc>
          <w:tcPr>
            <w:tcW w:w="1161" w:type="pct"/>
            <w:vAlign w:val="center"/>
            <w:hideMark/>
          </w:tcPr>
          <w:p w14:paraId="05E22A82"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Platelet Density</w:t>
            </w:r>
          </w:p>
        </w:tc>
        <w:tc>
          <w:tcPr>
            <w:tcW w:w="777" w:type="pct"/>
            <w:vAlign w:val="center"/>
            <w:hideMark/>
          </w:tcPr>
          <w:p w14:paraId="508572BA"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Precision (%)</w:t>
            </w:r>
          </w:p>
        </w:tc>
        <w:tc>
          <w:tcPr>
            <w:tcW w:w="632" w:type="pct"/>
            <w:vAlign w:val="center"/>
            <w:hideMark/>
          </w:tcPr>
          <w:p w14:paraId="2A8F1793"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Recall (%)</w:t>
            </w:r>
          </w:p>
        </w:tc>
        <w:tc>
          <w:tcPr>
            <w:tcW w:w="755" w:type="pct"/>
            <w:vAlign w:val="center"/>
            <w:hideMark/>
          </w:tcPr>
          <w:p w14:paraId="4E881940"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proofErr w:type="spellStart"/>
            <w:r w:rsidRPr="00F84376">
              <w:rPr>
                <w:rFonts w:asciiTheme="majorBidi" w:hAnsiTheme="majorBidi" w:cstheme="majorBidi"/>
                <w:b/>
                <w:bCs/>
                <w:color w:val="000000"/>
                <w:sz w:val="20"/>
                <w:szCs w:val="20"/>
                <w14:textFill>
                  <w14:solidFill>
                    <w14:srgbClr w14:val="000000">
                      <w14:alpha w14:val="3000"/>
                    </w14:srgbClr>
                  </w14:solidFill>
                </w14:textFill>
              </w:rPr>
              <w:t>F1</w:t>
            </w:r>
            <w:proofErr w:type="spellEnd"/>
            <w:r w:rsidRPr="00F84376">
              <w:rPr>
                <w:rFonts w:asciiTheme="majorBidi" w:hAnsiTheme="majorBidi" w:cstheme="majorBidi"/>
                <w:b/>
                <w:bCs/>
                <w:color w:val="000000"/>
                <w:sz w:val="20"/>
                <w:szCs w:val="20"/>
                <w14:textFill>
                  <w14:solidFill>
                    <w14:srgbClr w14:val="000000">
                      <w14:alpha w14:val="3000"/>
                    </w14:srgbClr>
                  </w14:solidFill>
                </w14:textFill>
              </w:rPr>
              <w:t xml:space="preserve"> Score (%)</w:t>
            </w:r>
          </w:p>
        </w:tc>
        <w:tc>
          <w:tcPr>
            <w:tcW w:w="1674" w:type="pct"/>
            <w:vAlign w:val="center"/>
            <w:hideMark/>
          </w:tcPr>
          <w:p w14:paraId="563D8497"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Correlation with Manual Count</w:t>
            </w:r>
          </w:p>
        </w:tc>
      </w:tr>
      <w:tr w:rsidR="00F84376" w:rsidRPr="00F84376" w14:paraId="34EA2DB9" w14:textId="77777777" w:rsidTr="00826F9C">
        <w:tc>
          <w:tcPr>
            <w:tcW w:w="1161" w:type="pct"/>
            <w:vAlign w:val="center"/>
            <w:hideMark/>
          </w:tcPr>
          <w:p w14:paraId="58CA8A1E"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Severe (&lt;50/</w:t>
            </w:r>
            <w:proofErr w:type="spellStart"/>
            <w:r w:rsidRPr="00F84376">
              <w:rPr>
                <w:rFonts w:asciiTheme="majorBidi" w:hAnsiTheme="majorBidi" w:cstheme="majorBidi"/>
                <w:color w:val="000000"/>
                <w:sz w:val="20"/>
                <w:szCs w:val="20"/>
                <w14:textFill>
                  <w14:solidFill>
                    <w14:srgbClr w14:val="000000">
                      <w14:alpha w14:val="3000"/>
                    </w14:srgbClr>
                  </w14:solidFill>
                </w14:textFill>
              </w:rPr>
              <w:t>μL</w:t>
            </w:r>
            <w:proofErr w:type="spellEnd"/>
            <w:r w:rsidRPr="00F84376">
              <w:rPr>
                <w:rFonts w:asciiTheme="majorBidi" w:hAnsiTheme="majorBidi" w:cstheme="majorBidi"/>
                <w:color w:val="000000"/>
                <w:sz w:val="20"/>
                <w:szCs w:val="20"/>
                <w14:textFill>
                  <w14:solidFill>
                    <w14:srgbClr w14:val="000000">
                      <w14:alpha w14:val="3000"/>
                    </w14:srgbClr>
                  </w14:solidFill>
                </w14:textFill>
              </w:rPr>
              <w:t>)</w:t>
            </w:r>
          </w:p>
        </w:tc>
        <w:tc>
          <w:tcPr>
            <w:tcW w:w="777" w:type="pct"/>
            <w:vAlign w:val="center"/>
            <w:hideMark/>
          </w:tcPr>
          <w:p w14:paraId="6D218DFE"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95.8</w:t>
            </w:r>
          </w:p>
        </w:tc>
        <w:tc>
          <w:tcPr>
            <w:tcW w:w="632" w:type="pct"/>
            <w:vAlign w:val="center"/>
            <w:hideMark/>
          </w:tcPr>
          <w:p w14:paraId="3B513519"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93.2</w:t>
            </w:r>
          </w:p>
        </w:tc>
        <w:tc>
          <w:tcPr>
            <w:tcW w:w="755" w:type="pct"/>
            <w:vAlign w:val="center"/>
            <w:hideMark/>
          </w:tcPr>
          <w:p w14:paraId="356EC23F"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94.5</w:t>
            </w:r>
          </w:p>
        </w:tc>
        <w:tc>
          <w:tcPr>
            <w:tcW w:w="1674" w:type="pct"/>
            <w:vAlign w:val="center"/>
            <w:hideMark/>
          </w:tcPr>
          <w:p w14:paraId="751EAD45"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0.96</w:t>
            </w:r>
          </w:p>
        </w:tc>
      </w:tr>
      <w:tr w:rsidR="00F84376" w:rsidRPr="00F84376" w14:paraId="0BADF688" w14:textId="77777777" w:rsidTr="00826F9C">
        <w:tc>
          <w:tcPr>
            <w:tcW w:w="1161" w:type="pct"/>
            <w:vAlign w:val="center"/>
            <w:hideMark/>
          </w:tcPr>
          <w:p w14:paraId="16E8DD37"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Moderate (50–100/</w:t>
            </w:r>
            <w:proofErr w:type="spellStart"/>
            <w:r w:rsidRPr="00F84376">
              <w:rPr>
                <w:rFonts w:asciiTheme="majorBidi" w:hAnsiTheme="majorBidi" w:cstheme="majorBidi"/>
                <w:color w:val="000000"/>
                <w:sz w:val="20"/>
                <w:szCs w:val="20"/>
                <w14:textFill>
                  <w14:solidFill>
                    <w14:srgbClr w14:val="000000">
                      <w14:alpha w14:val="3000"/>
                    </w14:srgbClr>
                  </w14:solidFill>
                </w14:textFill>
              </w:rPr>
              <w:t>μL</w:t>
            </w:r>
            <w:proofErr w:type="spellEnd"/>
            <w:r w:rsidRPr="00F84376">
              <w:rPr>
                <w:rFonts w:asciiTheme="majorBidi" w:hAnsiTheme="majorBidi" w:cstheme="majorBidi"/>
                <w:color w:val="000000"/>
                <w:sz w:val="20"/>
                <w:szCs w:val="20"/>
                <w14:textFill>
                  <w14:solidFill>
                    <w14:srgbClr w14:val="000000">
                      <w14:alpha w14:val="3000"/>
                    </w14:srgbClr>
                  </w14:solidFill>
                </w14:textFill>
              </w:rPr>
              <w:t>)</w:t>
            </w:r>
          </w:p>
        </w:tc>
        <w:tc>
          <w:tcPr>
            <w:tcW w:w="777" w:type="pct"/>
            <w:vAlign w:val="center"/>
            <w:hideMark/>
          </w:tcPr>
          <w:p w14:paraId="7E7B33A2"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96.7</w:t>
            </w:r>
          </w:p>
        </w:tc>
        <w:tc>
          <w:tcPr>
            <w:tcW w:w="632" w:type="pct"/>
            <w:vAlign w:val="center"/>
            <w:hideMark/>
          </w:tcPr>
          <w:p w14:paraId="5778D7F1"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95.8</w:t>
            </w:r>
          </w:p>
        </w:tc>
        <w:tc>
          <w:tcPr>
            <w:tcW w:w="755" w:type="pct"/>
            <w:vAlign w:val="center"/>
            <w:hideMark/>
          </w:tcPr>
          <w:p w14:paraId="52012FC3"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96.2</w:t>
            </w:r>
          </w:p>
        </w:tc>
        <w:tc>
          <w:tcPr>
            <w:tcW w:w="1674" w:type="pct"/>
            <w:vAlign w:val="center"/>
            <w:hideMark/>
          </w:tcPr>
          <w:p w14:paraId="1292254F"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0.98</w:t>
            </w:r>
          </w:p>
        </w:tc>
      </w:tr>
      <w:tr w:rsidR="00F84376" w:rsidRPr="00F84376" w14:paraId="373F9611" w14:textId="77777777" w:rsidTr="00826F9C">
        <w:tc>
          <w:tcPr>
            <w:tcW w:w="1161" w:type="pct"/>
            <w:vAlign w:val="center"/>
            <w:hideMark/>
          </w:tcPr>
          <w:p w14:paraId="2BD7870A"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Mild (100–150/</w:t>
            </w:r>
            <w:proofErr w:type="spellStart"/>
            <w:r w:rsidRPr="00F84376">
              <w:rPr>
                <w:rFonts w:asciiTheme="majorBidi" w:hAnsiTheme="majorBidi" w:cstheme="majorBidi"/>
                <w:color w:val="000000"/>
                <w:sz w:val="20"/>
                <w:szCs w:val="20"/>
                <w14:textFill>
                  <w14:solidFill>
                    <w14:srgbClr w14:val="000000">
                      <w14:alpha w14:val="3000"/>
                    </w14:srgbClr>
                  </w14:solidFill>
                </w14:textFill>
              </w:rPr>
              <w:t>μL</w:t>
            </w:r>
            <w:proofErr w:type="spellEnd"/>
            <w:r w:rsidRPr="00F84376">
              <w:rPr>
                <w:rFonts w:asciiTheme="majorBidi" w:hAnsiTheme="majorBidi" w:cstheme="majorBidi"/>
                <w:color w:val="000000"/>
                <w:sz w:val="20"/>
                <w:szCs w:val="20"/>
                <w14:textFill>
                  <w14:solidFill>
                    <w14:srgbClr w14:val="000000">
                      <w14:alpha w14:val="3000"/>
                    </w14:srgbClr>
                  </w14:solidFill>
                </w14:textFill>
              </w:rPr>
              <w:t>)</w:t>
            </w:r>
          </w:p>
        </w:tc>
        <w:tc>
          <w:tcPr>
            <w:tcW w:w="777" w:type="pct"/>
            <w:vAlign w:val="center"/>
            <w:hideMark/>
          </w:tcPr>
          <w:p w14:paraId="066456FD"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97.5</w:t>
            </w:r>
          </w:p>
        </w:tc>
        <w:tc>
          <w:tcPr>
            <w:tcW w:w="632" w:type="pct"/>
            <w:vAlign w:val="center"/>
            <w:hideMark/>
          </w:tcPr>
          <w:p w14:paraId="5269DEE8"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96.9</w:t>
            </w:r>
          </w:p>
        </w:tc>
        <w:tc>
          <w:tcPr>
            <w:tcW w:w="755" w:type="pct"/>
            <w:vAlign w:val="center"/>
            <w:hideMark/>
          </w:tcPr>
          <w:p w14:paraId="4299508F"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97.2</w:t>
            </w:r>
          </w:p>
        </w:tc>
        <w:tc>
          <w:tcPr>
            <w:tcW w:w="1674" w:type="pct"/>
            <w:vAlign w:val="center"/>
            <w:hideMark/>
          </w:tcPr>
          <w:p w14:paraId="0EB45578"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0.99</w:t>
            </w:r>
          </w:p>
        </w:tc>
      </w:tr>
    </w:tbl>
    <w:p w14:paraId="1D6CC9DE"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71890C42" w14:textId="36673C8C"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The model maintained strong performance across all platelet density ranges, with slightly reduced recall in severe thrombocytopenia cases where platelet distribution is most sparse and heterogeneous</w:t>
      </w:r>
      <w:r w:rsidR="00CC3657">
        <w:rPr>
          <w:rFonts w:asciiTheme="majorBidi" w:hAnsiTheme="majorBidi" w:cstheme="majorBidi"/>
          <w:color w:val="000000"/>
          <w:sz w:val="24"/>
          <w:szCs w:val="24"/>
          <w14:textFill>
            <w14:solidFill>
              <w14:srgbClr w14:val="000000">
                <w14:alpha w14:val="3000"/>
              </w14:srgbClr>
            </w14:solidFill>
          </w14:textFill>
        </w:rPr>
        <w:t xml:space="preserve">, </w:t>
      </w:r>
      <w:r w:rsidR="00CC3657" w:rsidRPr="007046A2">
        <w:rPr>
          <w:rFonts w:asciiTheme="majorBidi" w:hAnsiTheme="majorBidi" w:cstheme="majorBidi"/>
          <w:color w:val="000000"/>
          <w:sz w:val="24"/>
          <w:szCs w:val="24"/>
          <w14:textFill>
            <w14:solidFill>
              <w14:srgbClr w14:val="000000">
                <w14:alpha w14:val="3000"/>
              </w14:srgbClr>
            </w14:solidFill>
          </w14:textFill>
        </w:rPr>
        <w:t>As in Table 5</w:t>
      </w:r>
      <w:r w:rsidRPr="00F84376">
        <w:rPr>
          <w:rFonts w:asciiTheme="majorBidi" w:hAnsiTheme="majorBidi" w:cstheme="majorBidi"/>
          <w:color w:val="000000"/>
          <w:sz w:val="24"/>
          <w:szCs w:val="24"/>
          <w14:textFill>
            <w14:solidFill>
              <w14:srgbClr w14:val="000000">
                <w14:alpha w14:val="3000"/>
              </w14:srgbClr>
            </w14:solidFill>
          </w14:textFill>
        </w:rPr>
        <w:t>.</w:t>
      </w:r>
    </w:p>
    <w:p w14:paraId="4F32762F"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5DECC65C" w14:textId="07DA81F3" w:rsidR="00312F33" w:rsidRPr="00F84376" w:rsidRDefault="00312F33" w:rsidP="00826F9C">
      <w:pPr>
        <w:pStyle w:val="a"/>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t xml:space="preserve">Table </w:t>
      </w:r>
      <w:r w:rsidR="00D2284C">
        <w:rPr>
          <w:color w:val="000000"/>
          <w14:textFill>
            <w14:solidFill>
              <w14:srgbClr w14:val="000000">
                <w14:alpha w14:val="3000"/>
              </w14:srgbClr>
            </w14:solidFill>
          </w14:textFill>
        </w:rPr>
        <w:t>6</w:t>
      </w:r>
      <w:r w:rsidRPr="00F84376">
        <w:rPr>
          <w:color w:val="000000"/>
          <w14:textFill>
            <w14:solidFill>
              <w14:srgbClr w14:val="000000">
                <w14:alpha w14:val="3000"/>
              </w14:srgbClr>
            </w14:solidFill>
          </w14:textFill>
        </w:rPr>
        <w:t>: Correlation with Reference Methods</w:t>
      </w:r>
    </w:p>
    <w:tbl>
      <w:tblPr>
        <w:tblStyle w:val="TableGrid"/>
        <w:tblW w:w="5000" w:type="pct"/>
        <w:tblLook w:val="04A0" w:firstRow="1" w:lastRow="0" w:firstColumn="1" w:lastColumn="0" w:noHBand="0" w:noVBand="1"/>
      </w:tblPr>
      <w:tblGrid>
        <w:gridCol w:w="2564"/>
        <w:gridCol w:w="2513"/>
        <w:gridCol w:w="2636"/>
        <w:gridCol w:w="2855"/>
      </w:tblGrid>
      <w:tr w:rsidR="00F84376" w:rsidRPr="00F84376" w14:paraId="181C4556" w14:textId="77777777" w:rsidTr="00826F9C">
        <w:tc>
          <w:tcPr>
            <w:tcW w:w="1213" w:type="pct"/>
            <w:vAlign w:val="center"/>
            <w:hideMark/>
          </w:tcPr>
          <w:p w14:paraId="5F8296BB"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Comparison Method</w:t>
            </w:r>
          </w:p>
        </w:tc>
        <w:tc>
          <w:tcPr>
            <w:tcW w:w="1189" w:type="pct"/>
            <w:vAlign w:val="center"/>
            <w:hideMark/>
          </w:tcPr>
          <w:p w14:paraId="2FDD5F92"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Pearson Correlation</w:t>
            </w:r>
          </w:p>
        </w:tc>
        <w:tc>
          <w:tcPr>
            <w:tcW w:w="1247" w:type="pct"/>
            <w:vAlign w:val="center"/>
            <w:hideMark/>
          </w:tcPr>
          <w:p w14:paraId="5AA8437F"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Mean Absolute Error</w:t>
            </w:r>
          </w:p>
        </w:tc>
        <w:tc>
          <w:tcPr>
            <w:tcW w:w="1351" w:type="pct"/>
            <w:vAlign w:val="center"/>
            <w:hideMark/>
          </w:tcPr>
          <w:p w14:paraId="043248B7" w14:textId="77777777" w:rsidR="00312F33" w:rsidRPr="00F84376" w:rsidRDefault="00312F33" w:rsidP="00826F9C">
            <w:pPr>
              <w:spacing w:line="276" w:lineRule="auto"/>
              <w:jc w:val="center"/>
              <w:rPr>
                <w:rFonts w:asciiTheme="majorBidi" w:hAnsiTheme="majorBidi" w:cstheme="majorBidi"/>
                <w:b/>
                <w:bCs/>
                <w:color w:val="000000"/>
                <w:sz w:val="20"/>
                <w:szCs w:val="20"/>
                <w14:textFill>
                  <w14:solidFill>
                    <w14:srgbClr w14:val="000000">
                      <w14:alpha w14:val="3000"/>
                    </w14:srgbClr>
                  </w14:solidFill>
                </w14:textFill>
              </w:rPr>
            </w:pPr>
            <w:r w:rsidRPr="00F84376">
              <w:rPr>
                <w:rFonts w:asciiTheme="majorBidi" w:hAnsiTheme="majorBidi" w:cstheme="majorBidi"/>
                <w:b/>
                <w:bCs/>
                <w:color w:val="000000"/>
                <w:sz w:val="20"/>
                <w:szCs w:val="20"/>
                <w14:textFill>
                  <w14:solidFill>
                    <w14:srgbClr w14:val="000000">
                      <w14:alpha w14:val="3000"/>
                    </w14:srgbClr>
                  </w14:solidFill>
                </w14:textFill>
              </w:rPr>
              <w:t>Coefficient of Variation</w:t>
            </w:r>
          </w:p>
        </w:tc>
      </w:tr>
      <w:tr w:rsidR="00F84376" w:rsidRPr="00F84376" w14:paraId="2BED5919" w14:textId="77777777" w:rsidTr="00826F9C">
        <w:tc>
          <w:tcPr>
            <w:tcW w:w="1213" w:type="pct"/>
            <w:vAlign w:val="center"/>
            <w:hideMark/>
          </w:tcPr>
          <w:p w14:paraId="0F9CB835"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Manual Microscopy</w:t>
            </w:r>
          </w:p>
        </w:tc>
        <w:tc>
          <w:tcPr>
            <w:tcW w:w="1189" w:type="pct"/>
            <w:vAlign w:val="center"/>
            <w:hideMark/>
          </w:tcPr>
          <w:p w14:paraId="0A537311"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0.98</w:t>
            </w:r>
          </w:p>
        </w:tc>
        <w:tc>
          <w:tcPr>
            <w:tcW w:w="1247" w:type="pct"/>
            <w:vAlign w:val="center"/>
            <w:hideMark/>
          </w:tcPr>
          <w:p w14:paraId="3E72144A"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4.2 platelets/</w:t>
            </w:r>
            <w:proofErr w:type="spellStart"/>
            <w:r w:rsidRPr="00F84376">
              <w:rPr>
                <w:rFonts w:asciiTheme="majorBidi" w:hAnsiTheme="majorBidi" w:cstheme="majorBidi"/>
                <w:color w:val="000000"/>
                <w:sz w:val="20"/>
                <w:szCs w:val="20"/>
                <w14:textFill>
                  <w14:solidFill>
                    <w14:srgbClr w14:val="000000">
                      <w14:alpha w14:val="3000"/>
                    </w14:srgbClr>
                  </w14:solidFill>
                </w14:textFill>
              </w:rPr>
              <w:t>μL</w:t>
            </w:r>
            <w:proofErr w:type="spellEnd"/>
          </w:p>
        </w:tc>
        <w:tc>
          <w:tcPr>
            <w:tcW w:w="1351" w:type="pct"/>
            <w:vAlign w:val="center"/>
            <w:hideMark/>
          </w:tcPr>
          <w:p w14:paraId="39812ECE"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3.8%</w:t>
            </w:r>
          </w:p>
        </w:tc>
      </w:tr>
      <w:tr w:rsidR="00F84376" w:rsidRPr="00F84376" w14:paraId="18FD491E" w14:textId="77777777" w:rsidTr="00826F9C">
        <w:tc>
          <w:tcPr>
            <w:tcW w:w="1213" w:type="pct"/>
            <w:vAlign w:val="center"/>
            <w:hideMark/>
          </w:tcPr>
          <w:p w14:paraId="4B7FD9C4"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Automated Analyzer</w:t>
            </w:r>
          </w:p>
        </w:tc>
        <w:tc>
          <w:tcPr>
            <w:tcW w:w="1189" w:type="pct"/>
            <w:vAlign w:val="center"/>
            <w:hideMark/>
          </w:tcPr>
          <w:p w14:paraId="02D20B33"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0.96</w:t>
            </w:r>
          </w:p>
        </w:tc>
        <w:tc>
          <w:tcPr>
            <w:tcW w:w="1247" w:type="pct"/>
            <w:vAlign w:val="center"/>
            <w:hideMark/>
          </w:tcPr>
          <w:p w14:paraId="4F045295"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5.8 platelets/</w:t>
            </w:r>
            <w:proofErr w:type="spellStart"/>
            <w:r w:rsidRPr="00F84376">
              <w:rPr>
                <w:rFonts w:asciiTheme="majorBidi" w:hAnsiTheme="majorBidi" w:cstheme="majorBidi"/>
                <w:color w:val="000000"/>
                <w:sz w:val="20"/>
                <w:szCs w:val="20"/>
                <w14:textFill>
                  <w14:solidFill>
                    <w14:srgbClr w14:val="000000">
                      <w14:alpha w14:val="3000"/>
                    </w14:srgbClr>
                  </w14:solidFill>
                </w14:textFill>
              </w:rPr>
              <w:t>μL</w:t>
            </w:r>
            <w:proofErr w:type="spellEnd"/>
          </w:p>
        </w:tc>
        <w:tc>
          <w:tcPr>
            <w:tcW w:w="1351" w:type="pct"/>
            <w:vAlign w:val="center"/>
            <w:hideMark/>
          </w:tcPr>
          <w:p w14:paraId="73E0FAAA" w14:textId="77777777" w:rsidR="00312F33" w:rsidRPr="00F84376" w:rsidRDefault="00312F33" w:rsidP="00826F9C">
            <w:pPr>
              <w:spacing w:line="276" w:lineRule="auto"/>
              <w:jc w:val="center"/>
              <w:rPr>
                <w:rFonts w:asciiTheme="majorBidi" w:hAnsiTheme="majorBidi" w:cstheme="majorBidi"/>
                <w:color w:val="000000"/>
                <w:sz w:val="20"/>
                <w:szCs w:val="20"/>
                <w14:textFill>
                  <w14:solidFill>
                    <w14:srgbClr w14:val="000000">
                      <w14:alpha w14:val="3000"/>
                    </w14:srgbClr>
                  </w14:solidFill>
                </w14:textFill>
              </w:rPr>
            </w:pPr>
            <w:r w:rsidRPr="00F84376">
              <w:rPr>
                <w:rFonts w:asciiTheme="majorBidi" w:hAnsiTheme="majorBidi" w:cstheme="majorBidi"/>
                <w:color w:val="000000"/>
                <w:sz w:val="20"/>
                <w:szCs w:val="20"/>
                <w14:textFill>
                  <w14:solidFill>
                    <w14:srgbClr w14:val="000000">
                      <w14:alpha w14:val="3000"/>
                    </w14:srgbClr>
                  </w14:solidFill>
                </w14:textFill>
              </w:rPr>
              <w:t>4.5%</w:t>
            </w:r>
          </w:p>
        </w:tc>
      </w:tr>
    </w:tbl>
    <w:p w14:paraId="47EAB307"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11E2F70D" w14:textId="69999995"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The proposed system showed excellent correlation with both manual microscopy and automated analyzer results. Bland Altman analysis revealed minimal systematic bias, with 95% limits of agreement within ±12.3 platelets/</w:t>
      </w:r>
      <w:proofErr w:type="spellStart"/>
      <w:r w:rsidRPr="00F84376">
        <w:rPr>
          <w:rFonts w:asciiTheme="majorBidi" w:hAnsiTheme="majorBidi" w:cstheme="majorBidi"/>
          <w:color w:val="000000"/>
          <w:sz w:val="24"/>
          <w:szCs w:val="24"/>
          <w14:textFill>
            <w14:solidFill>
              <w14:srgbClr w14:val="000000">
                <w14:alpha w14:val="3000"/>
              </w14:srgbClr>
            </w14:solidFill>
          </w14:textFill>
        </w:rPr>
        <w:t>μL</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compared to manual counts</w:t>
      </w:r>
      <w:r w:rsidR="00CC3657">
        <w:rPr>
          <w:rFonts w:asciiTheme="majorBidi" w:hAnsiTheme="majorBidi" w:cstheme="majorBidi"/>
          <w:color w:val="000000"/>
          <w:sz w:val="24"/>
          <w:szCs w:val="24"/>
          <w14:textFill>
            <w14:solidFill>
              <w14:srgbClr w14:val="000000">
                <w14:alpha w14:val="3000"/>
              </w14:srgbClr>
            </w14:solidFill>
          </w14:textFill>
        </w:rPr>
        <w:t xml:space="preserve">, </w:t>
      </w:r>
      <w:r w:rsidR="00CC3657" w:rsidRPr="007046A2">
        <w:rPr>
          <w:rFonts w:asciiTheme="majorBidi" w:hAnsiTheme="majorBidi" w:cstheme="majorBidi"/>
          <w:color w:val="000000"/>
          <w:sz w:val="24"/>
          <w:szCs w:val="24"/>
          <w14:textFill>
            <w14:solidFill>
              <w14:srgbClr w14:val="000000">
                <w14:alpha w14:val="3000"/>
              </w14:srgbClr>
            </w14:solidFill>
          </w14:textFill>
        </w:rPr>
        <w:t>As in Table 6</w:t>
      </w:r>
      <w:r w:rsidRPr="00F84376">
        <w:rPr>
          <w:rFonts w:asciiTheme="majorBidi" w:hAnsiTheme="majorBidi" w:cstheme="majorBidi"/>
          <w:color w:val="000000"/>
          <w:sz w:val="24"/>
          <w:szCs w:val="24"/>
          <w14:textFill>
            <w14:solidFill>
              <w14:srgbClr w14:val="000000">
                <w14:alpha w14:val="3000"/>
              </w14:srgbClr>
            </w14:solidFill>
          </w14:textFill>
        </w:rPr>
        <w:t>.</w:t>
      </w:r>
    </w:p>
    <w:p w14:paraId="4B2C6997"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01DBA4B8" w14:textId="04B5A550" w:rsidR="00312F33" w:rsidRPr="00F84376" w:rsidRDefault="004B0228" w:rsidP="004B0228">
      <w:pPr>
        <w:pStyle w:val="Int"/>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t>DISCUSSION</w:t>
      </w:r>
    </w:p>
    <w:p w14:paraId="58F72E17" w14:textId="77777777" w:rsidR="004B0228" w:rsidRPr="00F84376" w:rsidRDefault="004B0228" w:rsidP="004B0228">
      <w:pPr>
        <w:pStyle w:val="Int"/>
        <w:numPr>
          <w:ilvl w:val="0"/>
          <w:numId w:val="0"/>
        </w:numPr>
        <w:ind w:left="786" w:hanging="360"/>
        <w:rPr>
          <w:color w:val="000000"/>
          <w14:textFill>
            <w14:solidFill>
              <w14:srgbClr w14:val="000000">
                <w14:alpha w14:val="3000"/>
              </w14:srgbClr>
            </w14:solidFill>
          </w14:textFill>
        </w:rPr>
      </w:pPr>
    </w:p>
    <w:p w14:paraId="624AD8AB"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Ethical and Regulatory Compliance</w:t>
      </w:r>
    </w:p>
    <w:p w14:paraId="6C67104E"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8E97EAA"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Our study adhered to the highest ethical standards, with IRB approval covering all participating centers. The multi-center design not only enhanced dataset diversity but also demonstrated consistent performance across different healthcare settings. This approach directly addresses potential concerns about single-center bias and strengthens the generalizability of our findings.</w:t>
      </w:r>
    </w:p>
    <w:p w14:paraId="40AD2330"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D2BC3B3"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Statistical Robustness and Clinical Significance</w:t>
      </w:r>
    </w:p>
    <w:p w14:paraId="22FF8D02"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0D15D8B"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Our comprehensive statistical analysis provides compelling evidence for the superiority of our approach:</w:t>
      </w:r>
    </w:p>
    <w:p w14:paraId="3AFE72D7"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E8877AC" w14:textId="77777777" w:rsidR="00312F33" w:rsidRPr="00F84376" w:rsidRDefault="00312F33">
      <w:pPr>
        <w:pStyle w:val="ListParagraph"/>
        <w:numPr>
          <w:ilvl w:val="0"/>
          <w:numId w:val="6"/>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Multiple Comparison Corrections: We applied Bonferroni corrections to all reported p-values, maintaining the family-wise error rate at α=0.05.</w:t>
      </w:r>
    </w:p>
    <w:p w14:paraId="6463EBF5" w14:textId="77777777" w:rsidR="00312F33" w:rsidRPr="00F84376" w:rsidRDefault="00312F33">
      <w:pPr>
        <w:pStyle w:val="ListParagraph"/>
        <w:numPr>
          <w:ilvl w:val="0"/>
          <w:numId w:val="6"/>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xml:space="preserve">Confidence Interval Analysis: The narrow confidence intervals around our primary metrics (e.g.,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mAP@0.5</w:t>
      </w:r>
      <w:proofErr w:type="spellEnd"/>
      <w:r w:rsidRPr="00F84376">
        <w:rPr>
          <w:rFonts w:asciiTheme="majorBidi" w:hAnsiTheme="majorBidi" w:cstheme="majorBidi"/>
          <w:color w:val="000000"/>
          <w:sz w:val="24"/>
          <w:szCs w:val="24"/>
          <w14:textFill>
            <w14:solidFill>
              <w14:srgbClr w14:val="000000">
                <w14:alpha w14:val="3000"/>
              </w14:srgbClr>
            </w14:solidFill>
          </w14:textFill>
        </w:rPr>
        <w:t>: 95% CI [95.3-97.1]) indicate a precise estimation of model performance.</w:t>
      </w:r>
    </w:p>
    <w:p w14:paraId="685FF41D" w14:textId="77777777" w:rsidR="00312F33" w:rsidRPr="00F84376" w:rsidRDefault="00312F33">
      <w:pPr>
        <w:pStyle w:val="ListParagraph"/>
        <w:numPr>
          <w:ilvl w:val="0"/>
          <w:numId w:val="6"/>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Clinical Equivalence Testing: Using the two one-sided tests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TOST</w:t>
      </w:r>
      <w:proofErr w:type="spellEnd"/>
      <w:r w:rsidRPr="00F84376">
        <w:rPr>
          <w:rFonts w:asciiTheme="majorBidi" w:hAnsiTheme="majorBidi" w:cstheme="majorBidi"/>
          <w:color w:val="000000"/>
          <w:sz w:val="24"/>
          <w:szCs w:val="24"/>
          <w14:textFill>
            <w14:solidFill>
              <w14:srgbClr w14:val="000000">
                <w14:alpha w14:val="3000"/>
              </w14:srgbClr>
            </w14:solidFill>
          </w14:textFill>
        </w:rPr>
        <w:t>) procedure, we demonstrated that our automated method is clinically equivalent to manual counting within a pre-specified margin of ±15 platelets/</w:t>
      </w:r>
      <w:proofErr w:type="spellStart"/>
      <w:r w:rsidRPr="00F84376">
        <w:rPr>
          <w:rFonts w:asciiTheme="majorBidi" w:hAnsiTheme="majorBidi" w:cstheme="majorBidi"/>
          <w:color w:val="000000"/>
          <w:sz w:val="24"/>
          <w:szCs w:val="24"/>
          <w14:textFill>
            <w14:solidFill>
              <w14:srgbClr w14:val="000000">
                <w14:alpha w14:val="3000"/>
              </w14:srgbClr>
            </w14:solidFill>
          </w14:textFill>
        </w:rPr>
        <w:t>μL</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(p&lt;0.001).</w:t>
      </w:r>
    </w:p>
    <w:p w14:paraId="10F6FA14"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lastRenderedPageBreak/>
        <w:t>While some may question the size of our 1,500-image dataset, several factors reinforce the validity of our conclusions:</w:t>
      </w:r>
    </w:p>
    <w:p w14:paraId="6DE485A3"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72E7BD24" w14:textId="77777777" w:rsidR="00312F33" w:rsidRPr="00F84376" w:rsidRDefault="00312F33">
      <w:pPr>
        <w:pStyle w:val="ListParagraph"/>
        <w:numPr>
          <w:ilvl w:val="0"/>
          <w:numId w:val="7"/>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Within-image Replication: Each image represents multiple independent observations (platelets), effectively increasing the statistical power.</w:t>
      </w:r>
    </w:p>
    <w:p w14:paraId="3F5002E4" w14:textId="77777777" w:rsidR="00312F33" w:rsidRPr="00F84376" w:rsidRDefault="00312F33">
      <w:pPr>
        <w:pStyle w:val="ListParagraph"/>
        <w:numPr>
          <w:ilvl w:val="0"/>
          <w:numId w:val="7"/>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xml:space="preserve">Cross-center Consistency: Performance metrics remained stable across all three centers (Center A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mAP</w:t>
      </w:r>
      <w:proofErr w:type="spellEnd"/>
      <w:r w:rsidRPr="00F84376">
        <w:rPr>
          <w:rFonts w:asciiTheme="majorBidi" w:hAnsiTheme="majorBidi" w:cstheme="majorBidi"/>
          <w:color w:val="000000"/>
          <w:sz w:val="24"/>
          <w:szCs w:val="24"/>
          <w14:textFill>
            <w14:solidFill>
              <w14:srgbClr w14:val="000000">
                <w14:alpha w14:val="3000"/>
              </w14:srgbClr>
            </w14:solidFill>
          </w14:textFill>
        </w:rPr>
        <w:t>: 96.1%, Center B: 95.9%, Center C: 96.4%; p=0.32 for between-center differences).</w:t>
      </w:r>
    </w:p>
    <w:p w14:paraId="7B8BC58F" w14:textId="77777777" w:rsidR="00312F33" w:rsidRPr="00F84376" w:rsidRDefault="00312F33">
      <w:pPr>
        <w:pStyle w:val="ListParagraph"/>
        <w:numPr>
          <w:ilvl w:val="0"/>
          <w:numId w:val="7"/>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Bootstrap Validation: Our resampling analysis with 10,000 bootstrap iterations confirmed that our performance estimates are stable, with standard errors &lt;0.5% for all primary metrics.</w:t>
      </w:r>
    </w:p>
    <w:p w14:paraId="285BFF09" w14:textId="2EEC766F" w:rsidR="00312F33" w:rsidRPr="00F84376" w:rsidRDefault="005D0A74"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Pr>
          <w:rFonts w:asciiTheme="majorBidi" w:hAnsiTheme="majorBidi" w:cstheme="majorBidi"/>
          <w:color w:val="000000"/>
          <w:sz w:val="24"/>
          <w:szCs w:val="24"/>
          <w14:textFill>
            <w14:solidFill>
              <w14:srgbClr w14:val="000000">
                <w14:alpha w14:val="3000"/>
              </w14:srgbClr>
            </w14:solidFill>
          </w14:textFill>
        </w:rPr>
        <w:t>The author acknowledges</w:t>
      </w:r>
      <w:r w:rsidR="00312F33" w:rsidRPr="00F84376">
        <w:rPr>
          <w:rFonts w:asciiTheme="majorBidi" w:hAnsiTheme="majorBidi" w:cstheme="majorBidi"/>
          <w:color w:val="000000"/>
          <w:sz w:val="24"/>
          <w:szCs w:val="24"/>
          <w14:textFill>
            <w14:solidFill>
              <w14:srgbClr w14:val="000000">
                <w14:alpha w14:val="3000"/>
              </w14:srgbClr>
            </w14:solidFill>
          </w14:textFill>
        </w:rPr>
        <w:t xml:space="preserve"> several limitations in our current work:</w:t>
      </w:r>
    </w:p>
    <w:p w14:paraId="6C53B91C"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62F153E4" w14:textId="77777777" w:rsidR="00312F33" w:rsidRPr="00F84376" w:rsidRDefault="00312F33">
      <w:pPr>
        <w:pStyle w:val="ListParagraph"/>
        <w:numPr>
          <w:ilvl w:val="0"/>
          <w:numId w:val="8"/>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Prospective Validation Needed: While our dataset is substantial, a prospective multi-center validation is already planned.</w:t>
      </w:r>
    </w:p>
    <w:p w14:paraId="5F2C413F" w14:textId="77777777" w:rsidR="00312F33" w:rsidRPr="00F84376" w:rsidRDefault="00312F33">
      <w:pPr>
        <w:pStyle w:val="ListParagraph"/>
        <w:numPr>
          <w:ilvl w:val="0"/>
          <w:numId w:val="8"/>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Rare Conditions: The dataset includes only a limited number of examples of extremely rare platelet disorders (n=15 images).</w:t>
      </w:r>
    </w:p>
    <w:p w14:paraId="3FCFEB8C" w14:textId="77777777" w:rsidR="00312F33" w:rsidRPr="00F84376" w:rsidRDefault="00312F33">
      <w:pPr>
        <w:pStyle w:val="ListParagraph"/>
        <w:numPr>
          <w:ilvl w:val="0"/>
          <w:numId w:val="8"/>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Staining Variability: Although we addressed common staining variations, extreme outliers were necessarily excluded from the analysis.</w:t>
      </w:r>
    </w:p>
    <w:p w14:paraId="268C35A6"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5CF218AF"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EA9E33D" w14:textId="6A6F5151" w:rsidR="00312F33" w:rsidRPr="00F84376" w:rsidRDefault="00CC6B2C" w:rsidP="002773F4">
      <w:pPr>
        <w:pStyle w:val="Int"/>
        <w:numPr>
          <w:ilvl w:val="0"/>
          <w:numId w:val="0"/>
        </w:numPr>
        <w:ind w:left="426"/>
      </w:pPr>
      <w:r w:rsidRPr="00F84376">
        <w:t xml:space="preserve"> 6. CONCLUSION</w:t>
      </w:r>
    </w:p>
    <w:p w14:paraId="667F8A0D"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 xml:space="preserve">This rigorously validated approach, underpinned by comprehensive statistical analysis and strict ethical oversight, demonstrates that </w:t>
      </w:r>
      <w:proofErr w:type="spellStart"/>
      <w:r w:rsidRPr="00F84376">
        <w:rPr>
          <w:rFonts w:asciiTheme="majorBidi" w:hAnsiTheme="majorBidi" w:cstheme="majorBidi"/>
          <w:color w:val="000000"/>
          <w:sz w:val="24"/>
          <w:szCs w:val="24"/>
          <w14:textFill>
            <w14:solidFill>
              <w14:srgbClr w14:val="000000">
                <w14:alpha w14:val="3000"/>
              </w14:srgbClr>
            </w14:solidFill>
          </w14:textFill>
        </w:rPr>
        <w:t>YOLOv8</w:t>
      </w:r>
      <w:proofErr w:type="spellEnd"/>
      <w:r w:rsidRPr="00F84376">
        <w:rPr>
          <w:rFonts w:asciiTheme="majorBidi" w:hAnsiTheme="majorBidi" w:cstheme="majorBidi"/>
          <w:color w:val="000000"/>
          <w:sz w:val="24"/>
          <w:szCs w:val="24"/>
          <w14:textFill>
            <w14:solidFill>
              <w14:srgbClr w14:val="000000">
                <w14:alpha w14:val="3000"/>
              </w14:srgbClr>
            </w14:solidFill>
          </w14:textFill>
        </w:rPr>
        <w:t xml:space="preserve"> enhanced with AI-based augmentation offers a clinically viable solution for platelet estimation. The multi-center design, robust statistical methods, and adherence to ethical guidelines collectively ensure the reliability and generalizability of our findings, supporting the potential for broader clinical implementation, As in the approximate figure 1.</w:t>
      </w:r>
    </w:p>
    <w:p w14:paraId="45E00E55"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5986B6B7"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The proposed system effectively addresses critical limitations of current platelet estimation methods, providing a rapid, accurate, and consistent solution for thrombocytopenia diagnosis and monitoring. With further validation and clinical integration, this technology holds significant promise for improving patient care through more reliable hematological assessment.</w:t>
      </w:r>
    </w:p>
    <w:p w14:paraId="201C60BA"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7BB775AA"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Promising future research directions include:</w:t>
      </w:r>
    </w:p>
    <w:p w14:paraId="482A0081" w14:textId="77777777" w:rsidR="00312F33" w:rsidRPr="00F84376" w:rsidRDefault="00312F33">
      <w:pPr>
        <w:pStyle w:val="ListParagraph"/>
        <w:numPr>
          <w:ilvl w:val="0"/>
          <w:numId w:val="9"/>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Extending the methodology to other hematological disorders.</w:t>
      </w:r>
    </w:p>
    <w:p w14:paraId="0E62378C" w14:textId="77777777" w:rsidR="00312F33" w:rsidRPr="00F84376" w:rsidRDefault="00312F33">
      <w:pPr>
        <w:pStyle w:val="ListParagraph"/>
        <w:numPr>
          <w:ilvl w:val="0"/>
          <w:numId w:val="9"/>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Developing explainable AI features to foster clinical trust and adoption.</w:t>
      </w:r>
    </w:p>
    <w:p w14:paraId="68F9B1CD" w14:textId="77777777" w:rsidR="00312F33" w:rsidRPr="00F84376" w:rsidRDefault="00312F33">
      <w:pPr>
        <w:pStyle w:val="ListParagraph"/>
        <w:numPr>
          <w:ilvl w:val="0"/>
          <w:numId w:val="9"/>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Integrating the system with point-of-care imaging devices.</w:t>
      </w:r>
    </w:p>
    <w:p w14:paraId="4E26EB4D" w14:textId="77777777" w:rsidR="00312F33" w:rsidRPr="00F84376" w:rsidRDefault="00312F33">
      <w:pPr>
        <w:pStyle w:val="ListParagraph"/>
        <w:numPr>
          <w:ilvl w:val="0"/>
          <w:numId w:val="9"/>
        </w:numPr>
        <w:spacing w:after="0"/>
        <w:jc w:val="both"/>
        <w:rPr>
          <w:rFonts w:asciiTheme="majorBidi" w:hAnsiTheme="majorBidi" w:cstheme="majorBidi"/>
          <w:color w:val="000000"/>
          <w:sz w:val="24"/>
          <w:szCs w:val="24"/>
          <w14:textFill>
            <w14:solidFill>
              <w14:srgbClr w14:val="000000">
                <w14:alpha w14:val="3000"/>
              </w14:srgbClr>
            </w14:solidFill>
          </w14:textFill>
        </w:rPr>
      </w:pPr>
      <w:r w:rsidRPr="00F84376">
        <w:rPr>
          <w:rFonts w:asciiTheme="majorBidi" w:hAnsiTheme="majorBidi" w:cstheme="majorBidi"/>
          <w:color w:val="000000"/>
          <w:sz w:val="24"/>
          <w:szCs w:val="24"/>
          <w14:textFill>
            <w14:solidFill>
              <w14:srgbClr w14:val="000000">
                <w14:alpha w14:val="3000"/>
              </w14:srgbClr>
            </w14:solidFill>
          </w14:textFill>
        </w:rPr>
        <w:t>Exploring multimodal approaches that combine image analysis with clinical laboratory data.</w:t>
      </w:r>
    </w:p>
    <w:p w14:paraId="461DBD0B" w14:textId="5BC459CE" w:rsidR="00312F33"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16B61924" w14:textId="77777777" w:rsidR="005D0A74" w:rsidRPr="00F84376" w:rsidRDefault="005D0A74"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7DEA2130" w14:textId="321E1768" w:rsidR="00312F33" w:rsidRPr="00F84376" w:rsidRDefault="004B0228" w:rsidP="00CC6B2C">
      <w:pPr>
        <w:pStyle w:val="Int"/>
        <w:numPr>
          <w:ilvl w:val="0"/>
          <w:numId w:val="0"/>
        </w:numPr>
        <w:ind w:left="786" w:hanging="360"/>
        <w:rPr>
          <w:color w:val="000000"/>
          <w14:textFill>
            <w14:solidFill>
              <w14:srgbClr w14:val="000000">
                <w14:alpha w14:val="3000"/>
              </w14:srgbClr>
            </w14:solidFill>
          </w14:textFill>
        </w:rPr>
      </w:pPr>
      <w:r w:rsidRPr="00F84376">
        <w:rPr>
          <w:color w:val="000000"/>
          <w14:textFill>
            <w14:solidFill>
              <w14:srgbClr w14:val="000000">
                <w14:alpha w14:val="3000"/>
              </w14:srgbClr>
            </w14:solidFill>
          </w14:textFill>
        </w:rPr>
        <w:lastRenderedPageBreak/>
        <w:t>REFERENCES</w:t>
      </w:r>
    </w:p>
    <w:p w14:paraId="531DEEC7" w14:textId="3E5E1C4A" w:rsidR="004B0228" w:rsidRPr="00F84376" w:rsidRDefault="004B0228" w:rsidP="004B0228">
      <w:pPr>
        <w:pStyle w:val="Int"/>
        <w:numPr>
          <w:ilvl w:val="0"/>
          <w:numId w:val="0"/>
        </w:numPr>
        <w:ind w:left="426"/>
        <w:rPr>
          <w:b w:val="0"/>
          <w:bCs w:val="0"/>
          <w:color w:val="000000"/>
          <w14:textFill>
            <w14:solidFill>
              <w14:srgbClr w14:val="000000">
                <w14:alpha w14:val="3000"/>
              </w14:srgbClr>
            </w14:solidFill>
          </w14:textFill>
        </w:rPr>
      </w:pPr>
    </w:p>
    <w:p w14:paraId="2F7148A8" w14:textId="77777777"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[1] H. T. M. </w:t>
      </w:r>
      <w:proofErr w:type="spellStart"/>
      <w:r w:rsidRPr="00F84376">
        <w:rPr>
          <w:b w:val="0"/>
          <w:bCs w:val="0"/>
          <w:color w:val="000000"/>
          <w14:textFill>
            <w14:solidFill>
              <w14:srgbClr w14:val="000000">
                <w14:alpha w14:val="3000"/>
              </w14:srgbClr>
            </w14:solidFill>
          </w14:textFill>
        </w:rPr>
        <w:t>Alahmar</w:t>
      </w:r>
      <w:proofErr w:type="spellEnd"/>
      <w:r w:rsidRPr="00F84376">
        <w:rPr>
          <w:b w:val="0"/>
          <w:bCs w:val="0"/>
          <w:color w:val="000000"/>
          <w14:textFill>
            <w14:solidFill>
              <w14:srgbClr w14:val="000000">
                <w14:alpha w14:val="3000"/>
              </w14:srgbClr>
            </w14:solidFill>
          </w14:textFill>
        </w:rPr>
        <w:t xml:space="preserve"> and N. A. Jasim, “Study and evaluate the performance of image processing algorithms to remove noise in images in metro systems,” AIP Conf. Proc., vol. 3318, no. 1, p. 060007, Jul. 2025, AIP Publishing LLC.</w:t>
      </w:r>
    </w:p>
    <w:p w14:paraId="51EE98FB" w14:textId="21349B85"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[2] C. Briggs et al., “Platelet counting in thrombocytopenic patients: a comparison of automated </w:t>
      </w:r>
      <w:proofErr w:type="spellStart"/>
      <w:r w:rsidRPr="00F84376">
        <w:rPr>
          <w:b w:val="0"/>
          <w:bCs w:val="0"/>
          <w:color w:val="000000"/>
          <w14:textFill>
            <w14:solidFill>
              <w14:srgbClr w14:val="000000">
                <w14:alpha w14:val="3000"/>
              </w14:srgbClr>
            </w14:solidFill>
          </w14:textFill>
        </w:rPr>
        <w:t>haematology</w:t>
      </w:r>
      <w:proofErr w:type="spellEnd"/>
      <w:r w:rsidRPr="00F84376">
        <w:rPr>
          <w:b w:val="0"/>
          <w:bCs w:val="0"/>
          <w:color w:val="000000"/>
          <w14:textFill>
            <w14:solidFill>
              <w14:srgbClr w14:val="000000">
                <w14:alpha w14:val="3000"/>
              </w14:srgbClr>
            </w14:solidFill>
          </w14:textFill>
        </w:rPr>
        <w:t xml:space="preserve"> </w:t>
      </w:r>
      <w:proofErr w:type="spellStart"/>
      <w:r w:rsidRPr="00F84376">
        <w:rPr>
          <w:b w:val="0"/>
          <w:bCs w:val="0"/>
          <w:color w:val="000000"/>
          <w14:textFill>
            <w14:solidFill>
              <w14:srgbClr w14:val="000000">
                <w14:alpha w14:val="3000"/>
              </w14:srgbClr>
            </w14:solidFill>
          </w14:textFill>
        </w:rPr>
        <w:t>analysers</w:t>
      </w:r>
      <w:proofErr w:type="spellEnd"/>
      <w:r w:rsidRPr="00F84376">
        <w:rPr>
          <w:b w:val="0"/>
          <w:bCs w:val="0"/>
          <w:color w:val="000000"/>
          <w14:textFill>
            <w14:solidFill>
              <w14:srgbClr w14:val="000000">
                <w14:alpha w14:val="3000"/>
              </w14:srgbClr>
            </w14:solidFill>
          </w14:textFill>
        </w:rPr>
        <w:t xml:space="preserve"> and a flow cytometric reference method,” Clin. Lab. </w:t>
      </w:r>
      <w:proofErr w:type="spellStart"/>
      <w:r w:rsidRPr="00F84376">
        <w:rPr>
          <w:b w:val="0"/>
          <w:bCs w:val="0"/>
          <w:color w:val="000000"/>
          <w14:textFill>
            <w14:solidFill>
              <w14:srgbClr w14:val="000000">
                <w14:alpha w14:val="3000"/>
              </w14:srgbClr>
            </w14:solidFill>
          </w14:textFill>
        </w:rPr>
        <w:t>Haematol</w:t>
      </w:r>
      <w:proofErr w:type="spellEnd"/>
      <w:r w:rsidRPr="00F84376">
        <w:rPr>
          <w:b w:val="0"/>
          <w:bCs w:val="0"/>
          <w:color w:val="000000"/>
          <w14:textFill>
            <w14:solidFill>
              <w14:srgbClr w14:val="000000">
                <w14:alpha w14:val="3000"/>
              </w14:srgbClr>
            </w14:solidFill>
          </w14:textFill>
        </w:rPr>
        <w:t>., 2020.</w:t>
      </w:r>
    </w:p>
    <w:p w14:paraId="5D4F62B4" w14:textId="7A3EF848"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[3] P. Harrison et al., “Platelet function testing: practice among laboratories in the United Kingdom,” J. Clin. </w:t>
      </w:r>
      <w:proofErr w:type="spellStart"/>
      <w:r w:rsidRPr="00F84376">
        <w:rPr>
          <w:b w:val="0"/>
          <w:bCs w:val="0"/>
          <w:color w:val="000000"/>
          <w14:textFill>
            <w14:solidFill>
              <w14:srgbClr w14:val="000000">
                <w14:alpha w14:val="3000"/>
              </w14:srgbClr>
            </w14:solidFill>
          </w14:textFill>
        </w:rPr>
        <w:t>Pathol</w:t>
      </w:r>
      <w:proofErr w:type="spellEnd"/>
      <w:r w:rsidRPr="00F84376">
        <w:rPr>
          <w:b w:val="0"/>
          <w:bCs w:val="0"/>
          <w:color w:val="000000"/>
          <w14:textFill>
            <w14:solidFill>
              <w14:srgbClr w14:val="000000">
                <w14:alpha w14:val="3000"/>
              </w14:srgbClr>
            </w14:solidFill>
          </w14:textFill>
        </w:rPr>
        <w:t>., 2019.</w:t>
      </w:r>
    </w:p>
    <w:p w14:paraId="5FD2137D" w14:textId="5CC7E07C"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[4] G. </w:t>
      </w:r>
      <w:proofErr w:type="spellStart"/>
      <w:r w:rsidRPr="00F84376">
        <w:rPr>
          <w:b w:val="0"/>
          <w:bCs w:val="0"/>
          <w:color w:val="000000"/>
          <w14:textFill>
            <w14:solidFill>
              <w14:srgbClr w14:val="000000">
                <w14:alpha w14:val="3000"/>
              </w14:srgbClr>
            </w14:solidFill>
          </w14:textFill>
        </w:rPr>
        <w:t>Jocher</w:t>
      </w:r>
      <w:proofErr w:type="spellEnd"/>
      <w:r w:rsidRPr="00F84376">
        <w:rPr>
          <w:b w:val="0"/>
          <w:bCs w:val="0"/>
          <w:color w:val="000000"/>
          <w14:textFill>
            <w14:solidFill>
              <w14:srgbClr w14:val="000000">
                <w14:alpha w14:val="3000"/>
              </w14:srgbClr>
            </w14:solidFill>
          </w14:textFill>
        </w:rPr>
        <w:t xml:space="preserve"> et al., “</w:t>
      </w:r>
      <w:proofErr w:type="spellStart"/>
      <w:r w:rsidRPr="00F84376">
        <w:rPr>
          <w:b w:val="0"/>
          <w:bCs w:val="0"/>
          <w:color w:val="000000"/>
          <w14:textFill>
            <w14:solidFill>
              <w14:srgbClr w14:val="000000">
                <w14:alpha w14:val="3000"/>
              </w14:srgbClr>
            </w14:solidFill>
          </w14:textFill>
        </w:rPr>
        <w:t>YOLOv5</w:t>
      </w:r>
      <w:proofErr w:type="spellEnd"/>
      <w:r w:rsidRPr="00F84376">
        <w:rPr>
          <w:b w:val="0"/>
          <w:bCs w:val="0"/>
          <w:color w:val="000000"/>
          <w14:textFill>
            <w14:solidFill>
              <w14:srgbClr w14:val="000000">
                <w14:alpha w14:val="3000"/>
              </w14:srgbClr>
            </w14:solidFill>
          </w14:textFill>
        </w:rPr>
        <w:t xml:space="preserve">: A state-of-the-art real-time object detection system,” </w:t>
      </w:r>
      <w:proofErr w:type="spellStart"/>
      <w:r w:rsidRPr="00F84376">
        <w:rPr>
          <w:b w:val="0"/>
          <w:bCs w:val="0"/>
          <w:color w:val="000000"/>
          <w14:textFill>
            <w14:solidFill>
              <w14:srgbClr w14:val="000000">
                <w14:alpha w14:val="3000"/>
              </w14:srgbClr>
            </w14:solidFill>
          </w14:textFill>
        </w:rPr>
        <w:t>Ultralytics</w:t>
      </w:r>
      <w:proofErr w:type="spellEnd"/>
      <w:r w:rsidRPr="00F84376">
        <w:rPr>
          <w:b w:val="0"/>
          <w:bCs w:val="0"/>
          <w:color w:val="000000"/>
          <w14:textFill>
            <w14:solidFill>
              <w14:srgbClr w14:val="000000">
                <w14:alpha w14:val="3000"/>
              </w14:srgbClr>
            </w14:solidFill>
          </w14:textFill>
        </w:rPr>
        <w:t>, 2022.</w:t>
      </w:r>
    </w:p>
    <w:p w14:paraId="2B87DCAB" w14:textId="7AFBD879"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[5] T. </w:t>
      </w:r>
      <w:proofErr w:type="spellStart"/>
      <w:r w:rsidRPr="00F84376">
        <w:rPr>
          <w:b w:val="0"/>
          <w:bCs w:val="0"/>
          <w:color w:val="000000"/>
          <w14:textFill>
            <w14:solidFill>
              <w14:srgbClr w14:val="000000">
                <w14:alpha w14:val="3000"/>
              </w14:srgbClr>
            </w14:solidFill>
          </w14:textFill>
        </w:rPr>
        <w:t>Karras</w:t>
      </w:r>
      <w:proofErr w:type="spellEnd"/>
      <w:r w:rsidRPr="00F84376">
        <w:rPr>
          <w:b w:val="0"/>
          <w:bCs w:val="0"/>
          <w:color w:val="000000"/>
          <w14:textFill>
            <w14:solidFill>
              <w14:srgbClr w14:val="000000">
                <w14:alpha w14:val="3000"/>
              </w14:srgbClr>
            </w14:solidFill>
          </w14:textFill>
        </w:rPr>
        <w:t xml:space="preserve"> et al., “Analyzing and improving the image quality of </w:t>
      </w:r>
      <w:proofErr w:type="spellStart"/>
      <w:r w:rsidRPr="00F84376">
        <w:rPr>
          <w:b w:val="0"/>
          <w:bCs w:val="0"/>
          <w:color w:val="000000"/>
          <w14:textFill>
            <w14:solidFill>
              <w14:srgbClr w14:val="000000">
                <w14:alpha w14:val="3000"/>
              </w14:srgbClr>
            </w14:solidFill>
          </w14:textFill>
        </w:rPr>
        <w:t>StyleGAN</w:t>
      </w:r>
      <w:proofErr w:type="spellEnd"/>
      <w:r w:rsidRPr="00F84376">
        <w:rPr>
          <w:b w:val="0"/>
          <w:bCs w:val="0"/>
          <w:color w:val="000000"/>
          <w14:textFill>
            <w14:solidFill>
              <w14:srgbClr w14:val="000000">
                <w14:alpha w14:val="3000"/>
              </w14:srgbClr>
            </w14:solidFill>
          </w14:textFill>
        </w:rPr>
        <w:t>,” in Proc. IEEE/</w:t>
      </w:r>
      <w:proofErr w:type="spellStart"/>
      <w:r w:rsidRPr="00F84376">
        <w:rPr>
          <w:b w:val="0"/>
          <w:bCs w:val="0"/>
          <w:color w:val="000000"/>
          <w14:textFill>
            <w14:solidFill>
              <w14:srgbClr w14:val="000000">
                <w14:alpha w14:val="3000"/>
              </w14:srgbClr>
            </w14:solidFill>
          </w14:textFill>
        </w:rPr>
        <w:t>CVF</w:t>
      </w:r>
      <w:proofErr w:type="spellEnd"/>
      <w:r w:rsidRPr="00F84376">
        <w:rPr>
          <w:b w:val="0"/>
          <w:bCs w:val="0"/>
          <w:color w:val="000000"/>
          <w14:textFill>
            <w14:solidFill>
              <w14:srgbClr w14:val="000000">
                <w14:alpha w14:val="3000"/>
              </w14:srgbClr>
            </w14:solidFill>
          </w14:textFill>
        </w:rPr>
        <w:t xml:space="preserve"> Conf. </w:t>
      </w:r>
      <w:proofErr w:type="spellStart"/>
      <w:r w:rsidRPr="00F84376">
        <w:rPr>
          <w:b w:val="0"/>
          <w:bCs w:val="0"/>
          <w:color w:val="000000"/>
          <w14:textFill>
            <w14:solidFill>
              <w14:srgbClr w14:val="000000">
                <w14:alpha w14:val="3000"/>
              </w14:srgbClr>
            </w14:solidFill>
          </w14:textFill>
        </w:rPr>
        <w:t>Comput</w:t>
      </w:r>
      <w:proofErr w:type="spellEnd"/>
      <w:r w:rsidRPr="00F84376">
        <w:rPr>
          <w:b w:val="0"/>
          <w:bCs w:val="0"/>
          <w:color w:val="000000"/>
          <w14:textFill>
            <w14:solidFill>
              <w14:srgbClr w14:val="000000">
                <w14:alpha w14:val="3000"/>
              </w14:srgbClr>
            </w14:solidFill>
          </w14:textFill>
        </w:rPr>
        <w:t xml:space="preserve">. Vis. Pattern </w:t>
      </w:r>
      <w:proofErr w:type="spellStart"/>
      <w:r w:rsidRPr="00F84376">
        <w:rPr>
          <w:b w:val="0"/>
          <w:bCs w:val="0"/>
          <w:color w:val="000000"/>
          <w14:textFill>
            <w14:solidFill>
              <w14:srgbClr w14:val="000000">
                <w14:alpha w14:val="3000"/>
              </w14:srgbClr>
            </w14:solidFill>
          </w14:textFill>
        </w:rPr>
        <w:t>Recognit</w:t>
      </w:r>
      <w:proofErr w:type="spellEnd"/>
      <w:r w:rsidRPr="00F84376">
        <w:rPr>
          <w:b w:val="0"/>
          <w:bCs w:val="0"/>
          <w:color w:val="000000"/>
          <w14:textFill>
            <w14:solidFill>
              <w14:srgbClr w14:val="000000">
                <w14:alpha w14:val="3000"/>
              </w14:srgbClr>
            </w14:solidFill>
          </w14:textFill>
        </w:rPr>
        <w:t>., 2020.</w:t>
      </w:r>
    </w:p>
    <w:p w14:paraId="48F7F10E" w14:textId="2AAC9B96"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[6] T. K. Koo and M. Y. Li, “A guideline of selecting and reporting intraclass correlation coefficients for reliability research,” J. </w:t>
      </w:r>
      <w:proofErr w:type="spellStart"/>
      <w:r w:rsidRPr="00F84376">
        <w:rPr>
          <w:b w:val="0"/>
          <w:bCs w:val="0"/>
          <w:color w:val="000000"/>
          <w14:textFill>
            <w14:solidFill>
              <w14:srgbClr w14:val="000000">
                <w14:alpha w14:val="3000"/>
              </w14:srgbClr>
            </w14:solidFill>
          </w14:textFill>
        </w:rPr>
        <w:t>Chiropr</w:t>
      </w:r>
      <w:proofErr w:type="spellEnd"/>
      <w:r w:rsidRPr="00F84376">
        <w:rPr>
          <w:b w:val="0"/>
          <w:bCs w:val="0"/>
          <w:color w:val="000000"/>
          <w14:textFill>
            <w14:solidFill>
              <w14:srgbClr w14:val="000000">
                <w14:alpha w14:val="3000"/>
              </w14:srgbClr>
            </w14:solidFill>
          </w14:textFill>
        </w:rPr>
        <w:t>. Med., vol. 15, no. 2, pp. 155–163, 2016.</w:t>
      </w:r>
    </w:p>
    <w:p w14:paraId="4C6BAC8E" w14:textId="3AD98642"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[7] D. </w:t>
      </w:r>
      <w:proofErr w:type="spellStart"/>
      <w:r w:rsidRPr="00F84376">
        <w:rPr>
          <w:b w:val="0"/>
          <w:bCs w:val="0"/>
          <w:color w:val="000000"/>
          <w14:textFill>
            <w14:solidFill>
              <w14:srgbClr w14:val="000000">
                <w14:alpha w14:val="3000"/>
              </w14:srgbClr>
            </w14:solidFill>
          </w14:textFill>
        </w:rPr>
        <w:t>Lakens</w:t>
      </w:r>
      <w:proofErr w:type="spellEnd"/>
      <w:r w:rsidRPr="00F84376">
        <w:rPr>
          <w:b w:val="0"/>
          <w:bCs w:val="0"/>
          <w:color w:val="000000"/>
          <w14:textFill>
            <w14:solidFill>
              <w14:srgbClr w14:val="000000">
                <w14:alpha w14:val="3000"/>
              </w14:srgbClr>
            </w14:solidFill>
          </w14:textFill>
        </w:rPr>
        <w:t>, “Equivalence tests: A practical primer for t tests, correlations, and meta-analyses,” Soc. Psychol. Pers. Sci., vol. 8, no. 4, pp. 355–362, 2017.</w:t>
      </w:r>
    </w:p>
    <w:p w14:paraId="5C61D413" w14:textId="460077BB"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[8] Y. Li et al., “Deep learning for hematopathology: current applications and future perspectives,” Blood Adv., 2021.</w:t>
      </w:r>
    </w:p>
    <w:p w14:paraId="35E3C2EF" w14:textId="1AFE0E0A"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[9] H. T. M. </w:t>
      </w:r>
      <w:proofErr w:type="spellStart"/>
      <w:r w:rsidRPr="00F84376">
        <w:rPr>
          <w:b w:val="0"/>
          <w:bCs w:val="0"/>
          <w:color w:val="000000"/>
          <w14:textFill>
            <w14:solidFill>
              <w14:srgbClr w14:val="000000">
                <w14:alpha w14:val="3000"/>
              </w14:srgbClr>
            </w14:solidFill>
          </w14:textFill>
        </w:rPr>
        <w:t>Alahmar</w:t>
      </w:r>
      <w:proofErr w:type="spellEnd"/>
      <w:r w:rsidRPr="00F84376">
        <w:rPr>
          <w:b w:val="0"/>
          <w:bCs w:val="0"/>
          <w:color w:val="000000"/>
          <w14:textFill>
            <w14:solidFill>
              <w14:srgbClr w14:val="000000">
                <w14:alpha w14:val="3000"/>
              </w14:srgbClr>
            </w14:solidFill>
          </w14:textFill>
        </w:rPr>
        <w:t>, “The use of programmable logic gate matrices in the design of a physical unit to detect the edges of digital images,” AIP Conf. Proc., vol. 2834, no. 1, p. 050001, Dec. 2023, AIP Publishing LLC.</w:t>
      </w:r>
    </w:p>
    <w:p w14:paraId="66EFB884" w14:textId="1F6D4597"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[10] J. Redmon et al., “You only look once: Unified, real-time object detection,” in Proc. IEEE Conf. </w:t>
      </w:r>
      <w:proofErr w:type="spellStart"/>
      <w:r w:rsidRPr="00F84376">
        <w:rPr>
          <w:b w:val="0"/>
          <w:bCs w:val="0"/>
          <w:color w:val="000000"/>
          <w14:textFill>
            <w14:solidFill>
              <w14:srgbClr w14:val="000000">
                <w14:alpha w14:val="3000"/>
              </w14:srgbClr>
            </w14:solidFill>
          </w14:textFill>
        </w:rPr>
        <w:t>Comput</w:t>
      </w:r>
      <w:proofErr w:type="spellEnd"/>
      <w:r w:rsidRPr="00F84376">
        <w:rPr>
          <w:b w:val="0"/>
          <w:bCs w:val="0"/>
          <w:color w:val="000000"/>
          <w14:textFill>
            <w14:solidFill>
              <w14:srgbClr w14:val="000000">
                <w14:alpha w14:val="3000"/>
              </w14:srgbClr>
            </w14:solidFill>
          </w14:textFill>
        </w:rPr>
        <w:t xml:space="preserve">. Vis. Pattern </w:t>
      </w:r>
      <w:proofErr w:type="spellStart"/>
      <w:r w:rsidRPr="00F84376">
        <w:rPr>
          <w:b w:val="0"/>
          <w:bCs w:val="0"/>
          <w:color w:val="000000"/>
          <w14:textFill>
            <w14:solidFill>
              <w14:srgbClr w14:val="000000">
                <w14:alpha w14:val="3000"/>
              </w14:srgbClr>
            </w14:solidFill>
          </w14:textFill>
        </w:rPr>
        <w:t>Recognit</w:t>
      </w:r>
      <w:proofErr w:type="spellEnd"/>
      <w:r w:rsidRPr="00F84376">
        <w:rPr>
          <w:b w:val="0"/>
          <w:bCs w:val="0"/>
          <w:color w:val="000000"/>
          <w14:textFill>
            <w14:solidFill>
              <w14:srgbClr w14:val="000000">
                <w14:alpha w14:val="3000"/>
              </w14:srgbClr>
            </w14:solidFill>
          </w14:textFill>
        </w:rPr>
        <w:t>., 2016.</w:t>
      </w:r>
    </w:p>
    <w:p w14:paraId="67BDFB95" w14:textId="3E136EEC" w:rsidR="00521BB4"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[11] C.-Y. Wang et al., “</w:t>
      </w:r>
      <w:proofErr w:type="spellStart"/>
      <w:r w:rsidRPr="00F84376">
        <w:rPr>
          <w:b w:val="0"/>
          <w:bCs w:val="0"/>
          <w:color w:val="000000"/>
          <w14:textFill>
            <w14:solidFill>
              <w14:srgbClr w14:val="000000">
                <w14:alpha w14:val="3000"/>
              </w14:srgbClr>
            </w14:solidFill>
          </w14:textFill>
        </w:rPr>
        <w:t>YOLOv7</w:t>
      </w:r>
      <w:proofErr w:type="spellEnd"/>
      <w:r w:rsidRPr="00F84376">
        <w:rPr>
          <w:b w:val="0"/>
          <w:bCs w:val="0"/>
          <w:color w:val="000000"/>
          <w14:textFill>
            <w14:solidFill>
              <w14:srgbClr w14:val="000000">
                <w14:alpha w14:val="3000"/>
              </w14:srgbClr>
            </w14:solidFill>
          </w14:textFill>
        </w:rPr>
        <w:t xml:space="preserve">: Trainable bag-of-freebies sets new state-of-the-art for real-time object detectors,” </w:t>
      </w:r>
      <w:proofErr w:type="spellStart"/>
      <w:r w:rsidRPr="00F84376">
        <w:rPr>
          <w:b w:val="0"/>
          <w:bCs w:val="0"/>
          <w:color w:val="000000"/>
          <w14:textFill>
            <w14:solidFill>
              <w14:srgbClr w14:val="000000">
                <w14:alpha w14:val="3000"/>
              </w14:srgbClr>
            </w14:solidFill>
          </w14:textFill>
        </w:rPr>
        <w:t>arXiv</w:t>
      </w:r>
      <w:proofErr w:type="spellEnd"/>
      <w:r w:rsidRPr="00F84376">
        <w:rPr>
          <w:b w:val="0"/>
          <w:bCs w:val="0"/>
          <w:color w:val="000000"/>
          <w14:textFill>
            <w14:solidFill>
              <w14:srgbClr w14:val="000000">
                <w14:alpha w14:val="3000"/>
              </w14:srgbClr>
            </w14:solidFill>
          </w14:textFill>
        </w:rPr>
        <w:t xml:space="preserve"> preprint </w:t>
      </w:r>
      <w:proofErr w:type="spellStart"/>
      <w:r w:rsidRPr="00F84376">
        <w:rPr>
          <w:b w:val="0"/>
          <w:bCs w:val="0"/>
          <w:color w:val="000000"/>
          <w14:textFill>
            <w14:solidFill>
              <w14:srgbClr w14:val="000000">
                <w14:alpha w14:val="3000"/>
              </w14:srgbClr>
            </w14:solidFill>
          </w14:textFill>
        </w:rPr>
        <w:t>arXiv:2207.02696</w:t>
      </w:r>
      <w:proofErr w:type="spellEnd"/>
      <w:r w:rsidRPr="00F84376">
        <w:rPr>
          <w:b w:val="0"/>
          <w:bCs w:val="0"/>
          <w:color w:val="000000"/>
          <w14:textFill>
            <w14:solidFill>
              <w14:srgbClr w14:val="000000">
                <w14:alpha w14:val="3000"/>
              </w14:srgbClr>
            </w14:solidFill>
          </w14:textFill>
        </w:rPr>
        <w:t>, 2022.</w:t>
      </w:r>
    </w:p>
    <w:p w14:paraId="2DAA0A8A" w14:textId="0A932F00" w:rsidR="00521BB4" w:rsidRPr="00F84376" w:rsidRDefault="00521BB4" w:rsidP="00521BB4">
      <w:pPr>
        <w:pStyle w:val="Int"/>
        <w:numPr>
          <w:ilvl w:val="0"/>
          <w:numId w:val="0"/>
        </w:numPr>
        <w:ind w:left="360"/>
        <w:rPr>
          <w:b w:val="0"/>
          <w:bCs w:val="0"/>
          <w:color w:val="000000"/>
          <w:rtl/>
          <w:lang w:bidi="ar-IQ"/>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[12] World Medical Association, “World Medical Association Declaration of Helsinki: ethical principles for medical research involving human subjects,” JAMA, vol. 310, no. 20, pp. 2191–2194, 2013.</w:t>
      </w:r>
    </w:p>
    <w:p w14:paraId="3B700E1D" w14:textId="6F631EE1" w:rsidR="004B0228" w:rsidRPr="00F84376" w:rsidRDefault="00521BB4" w:rsidP="00521BB4">
      <w:pPr>
        <w:pStyle w:val="Int"/>
        <w:numPr>
          <w:ilvl w:val="0"/>
          <w:numId w:val="0"/>
        </w:numPr>
        <w:ind w:left="360"/>
        <w:rPr>
          <w:b w:val="0"/>
          <w:bCs w:val="0"/>
          <w:color w:val="000000"/>
          <w14:textFill>
            <w14:solidFill>
              <w14:srgbClr w14:val="000000">
                <w14:alpha w14:val="3000"/>
              </w14:srgbClr>
            </w14:solidFill>
          </w14:textFill>
        </w:rPr>
      </w:pPr>
      <w:r w:rsidRPr="00F84376">
        <w:rPr>
          <w:b w:val="0"/>
          <w:bCs w:val="0"/>
          <w:color w:val="000000"/>
          <w14:textFill>
            <w14:solidFill>
              <w14:srgbClr w14:val="000000">
                <w14:alpha w14:val="3000"/>
              </w14:srgbClr>
            </w14:solidFill>
          </w14:textFill>
        </w:rPr>
        <w:t xml:space="preserve">[13] J. Y. Zhu et al., “Unpaired image-to-image translation using cycle-consistent adversarial networks,” in Proc. IEEE Int. Conf. </w:t>
      </w:r>
      <w:proofErr w:type="spellStart"/>
      <w:r w:rsidRPr="00F84376">
        <w:rPr>
          <w:b w:val="0"/>
          <w:bCs w:val="0"/>
          <w:color w:val="000000"/>
          <w14:textFill>
            <w14:solidFill>
              <w14:srgbClr w14:val="000000">
                <w14:alpha w14:val="3000"/>
              </w14:srgbClr>
            </w14:solidFill>
          </w14:textFill>
        </w:rPr>
        <w:t>Comput</w:t>
      </w:r>
      <w:proofErr w:type="spellEnd"/>
      <w:r w:rsidRPr="00F84376">
        <w:rPr>
          <w:b w:val="0"/>
          <w:bCs w:val="0"/>
          <w:color w:val="000000"/>
          <w14:textFill>
            <w14:solidFill>
              <w14:srgbClr w14:val="000000">
                <w14:alpha w14:val="3000"/>
              </w14:srgbClr>
            </w14:solidFill>
          </w14:textFill>
        </w:rPr>
        <w:t>. Vis., 2021.</w:t>
      </w:r>
    </w:p>
    <w:p w14:paraId="1A08389C"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7E6032FC"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4B90DA7E" w14:textId="77777777" w:rsidR="00312F33" w:rsidRPr="00F84376" w:rsidRDefault="00312F33" w:rsidP="00731FAD">
      <w:pPr>
        <w:spacing w:after="0"/>
        <w:jc w:val="both"/>
        <w:rPr>
          <w:rFonts w:asciiTheme="majorBidi" w:hAnsiTheme="majorBidi" w:cstheme="majorBidi"/>
          <w:color w:val="000000"/>
          <w:sz w:val="24"/>
          <w:szCs w:val="24"/>
          <w14:textFill>
            <w14:solidFill>
              <w14:srgbClr w14:val="000000">
                <w14:alpha w14:val="3000"/>
              </w14:srgbClr>
            </w14:solidFill>
          </w14:textFill>
        </w:rPr>
      </w:pPr>
    </w:p>
    <w:p w14:paraId="563138F9" w14:textId="77777777" w:rsidR="00644DD3" w:rsidRPr="00F84376" w:rsidRDefault="00A554FE" w:rsidP="00731FAD">
      <w:pPr>
        <w:rPr>
          <w:rFonts w:asciiTheme="majorBidi" w:hAnsiTheme="majorBidi" w:cstheme="majorBidi"/>
          <w:color w:val="000000"/>
          <w:sz w:val="24"/>
          <w:szCs w:val="24"/>
          <w:rtl/>
          <w:lang w:bidi="ar-IQ"/>
          <w14:textFill>
            <w14:solidFill>
              <w14:srgbClr w14:val="000000">
                <w14:alpha w14:val="3000"/>
              </w14:srgbClr>
            </w14:solidFill>
          </w14:textFill>
        </w:rPr>
      </w:pPr>
    </w:p>
    <w:sectPr w:rsidR="00644DD3" w:rsidRPr="00F84376" w:rsidSect="007046A2">
      <w:headerReference w:type="default" r:id="rId10"/>
      <w:footerReference w:type="default" r:id="rId11"/>
      <w:type w:val="continuous"/>
      <w:pgSz w:w="12240" w:h="15840"/>
      <w:pgMar w:top="1077" w:right="811" w:bottom="1588" w:left="851" w:header="1418" w:footer="709" w:gutter="0"/>
      <w:pgNumType w:start="2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9ADE5" w14:textId="77777777" w:rsidR="00A554FE" w:rsidRDefault="00A554FE">
      <w:pPr>
        <w:spacing w:after="0" w:line="240" w:lineRule="auto"/>
      </w:pPr>
      <w:r>
        <w:separator/>
      </w:r>
    </w:p>
  </w:endnote>
  <w:endnote w:type="continuationSeparator" w:id="0">
    <w:p w14:paraId="05A0B4C2" w14:textId="77777777" w:rsidR="00A554FE" w:rsidRDefault="00A55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8FFB9" w14:textId="64D9A40B" w:rsidR="00B20185" w:rsidRDefault="00A554FE">
    <w:pPr>
      <w:pStyle w:val="Footer"/>
      <w:jc w:val="center"/>
    </w:pPr>
  </w:p>
  <w:p w14:paraId="4CB72E67" w14:textId="77777777" w:rsidR="00B20185" w:rsidRDefault="00A55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608D5" w14:textId="77777777" w:rsidR="00A554FE" w:rsidRDefault="00A554FE">
      <w:pPr>
        <w:spacing w:after="0" w:line="240" w:lineRule="auto"/>
      </w:pPr>
      <w:r>
        <w:separator/>
      </w:r>
    </w:p>
  </w:footnote>
  <w:footnote w:type="continuationSeparator" w:id="0">
    <w:p w14:paraId="28ADEEE3" w14:textId="77777777" w:rsidR="00A554FE" w:rsidRDefault="00A55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76E52" w14:textId="77777777" w:rsidR="00CC6B2C" w:rsidRDefault="00CC6B2C" w:rsidP="00CC6B2C">
    <w:pPr>
      <w:pStyle w:val="Header"/>
      <w:tabs>
        <w:tab w:val="left" w:pos="8415"/>
        <w:tab w:val="right" w:pos="10244"/>
      </w:tabs>
    </w:pPr>
    <w:r>
      <w:rPr>
        <w:noProof/>
      </w:rPr>
      <mc:AlternateContent>
        <mc:Choice Requires="wpg">
          <w:drawing>
            <wp:anchor distT="0" distB="0" distL="114300" distR="114300" simplePos="0" relativeHeight="251660288" behindDoc="0" locked="0" layoutInCell="1" allowOverlap="1" wp14:anchorId="72E37C6C" wp14:editId="1C29372B">
              <wp:simplePos x="0" y="0"/>
              <wp:positionH relativeFrom="column">
                <wp:posOffset>-245110</wp:posOffset>
              </wp:positionH>
              <wp:positionV relativeFrom="paragraph">
                <wp:posOffset>-861695</wp:posOffset>
              </wp:positionV>
              <wp:extent cx="6915150" cy="1339214"/>
              <wp:effectExtent l="0" t="0" r="0" b="0"/>
              <wp:wrapNone/>
              <wp:docPr id="6" name="مجموعة 1"/>
              <wp:cNvGraphicFramePr/>
              <a:graphic xmlns:a="http://schemas.openxmlformats.org/drawingml/2006/main">
                <a:graphicData uri="http://schemas.microsoft.com/office/word/2010/wordprocessingGroup">
                  <wpg:wgp>
                    <wpg:cNvGrpSpPr/>
                    <wpg:grpSpPr>
                      <a:xfrm>
                        <a:off x="0" y="0"/>
                        <a:ext cx="6915150" cy="1339214"/>
                        <a:chOff x="0" y="0"/>
                        <a:chExt cx="6915150" cy="1339214"/>
                      </a:xfrm>
                    </wpg:grpSpPr>
                    <wps:wsp>
                      <wps:cNvPr id="2" name="Text Box 2"/>
                      <wps:cNvSpPr txBox="1">
                        <a:spLocks noChangeArrowheads="1"/>
                      </wps:cNvSpPr>
                      <wps:spPr bwMode="auto">
                        <a:xfrm>
                          <a:off x="5514975" y="0"/>
                          <a:ext cx="1400175" cy="1252855"/>
                        </a:xfrm>
                        <a:prstGeom prst="rect">
                          <a:avLst/>
                        </a:prstGeom>
                        <a:solidFill>
                          <a:srgbClr val="FFFFFF"/>
                        </a:solidFill>
                        <a:ln w="9525">
                          <a:noFill/>
                          <a:miter lim="800000"/>
                          <a:headEnd/>
                          <a:tailEnd/>
                        </a:ln>
                      </wps:spPr>
                      <wps:txbx>
                        <w:txbxContent>
                          <w:p w14:paraId="1457E8D0" w14:textId="77777777" w:rsidR="00CC6B2C" w:rsidRDefault="00CC6B2C" w:rsidP="00CC6B2C">
                            <w:pPr>
                              <w:jc w:val="center"/>
                            </w:pPr>
                            <w:r>
                              <w:rPr>
                                <w:noProof/>
                              </w:rPr>
                              <w:drawing>
                                <wp:inline distT="0" distB="0" distL="0" distR="0" wp14:anchorId="751A9427" wp14:editId="17B2A4D7">
                                  <wp:extent cx="1238250" cy="1190625"/>
                                  <wp:effectExtent l="0" t="0" r="0" b="9525"/>
                                  <wp:docPr id="3" name="صورة 3" descr="D:\Dr. Essam Al-Zaini\automative engineering books\Al-Furat Al-Awsat web sit\QS ranking\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r. Essam Al-Zaini\automative engineering books\Al-Furat Al-Awsat web sit\QS ranking\Untitled-1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571" cy="119189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4" name="Text Box 2"/>
                      <wps:cNvSpPr txBox="1">
                        <a:spLocks noChangeArrowheads="1"/>
                      </wps:cNvSpPr>
                      <wps:spPr bwMode="auto">
                        <a:xfrm>
                          <a:off x="0" y="0"/>
                          <a:ext cx="1324609" cy="1339214"/>
                        </a:xfrm>
                        <a:prstGeom prst="rect">
                          <a:avLst/>
                        </a:prstGeom>
                        <a:solidFill>
                          <a:srgbClr val="FFFFFF"/>
                        </a:solidFill>
                        <a:ln w="9525">
                          <a:noFill/>
                          <a:miter lim="800000"/>
                          <a:headEnd/>
                          <a:tailEnd/>
                        </a:ln>
                      </wps:spPr>
                      <wps:txbx>
                        <w:txbxContent>
                          <w:p w14:paraId="3B6A8B92" w14:textId="77777777" w:rsidR="00CC6B2C" w:rsidRDefault="00CC6B2C" w:rsidP="00CC6B2C">
                            <w:r>
                              <w:rPr>
                                <w:noProof/>
                              </w:rPr>
                              <w:drawing>
                                <wp:inline distT="0" distB="0" distL="0" distR="0" wp14:anchorId="21D0E85F" wp14:editId="666F41F4">
                                  <wp:extent cx="1057275" cy="1085850"/>
                                  <wp:effectExtent l="0" t="0" r="9525" b="0"/>
                                  <wp:docPr id="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8403" cy="1087009"/>
                                          </a:xfrm>
                                          <a:prstGeom prst="rect">
                                            <a:avLst/>
                                          </a:prstGeom>
                                          <a:noFill/>
                                          <a:ln>
                                            <a:noFill/>
                                          </a:ln>
                                        </pic:spPr>
                                      </pic:pic>
                                    </a:graphicData>
                                  </a:graphic>
                                </wp:inline>
                              </w:drawing>
                            </w:r>
                          </w:p>
                        </w:txbxContent>
                      </wps:txbx>
                      <wps:bodyPr rot="0" vert="horz" wrap="square" lIns="91440" tIns="45720" rIns="91440" bIns="45720" anchor="t" anchorCtr="0">
                        <a:spAutoFit/>
                      </wps:bodyPr>
                    </wps:wsp>
                    <wps:wsp>
                      <wps:cNvPr id="5" name="Text Box 2"/>
                      <wps:cNvSpPr txBox="1">
                        <a:spLocks noChangeArrowheads="1"/>
                      </wps:cNvSpPr>
                      <wps:spPr bwMode="auto">
                        <a:xfrm>
                          <a:off x="1400175" y="171198"/>
                          <a:ext cx="4191634" cy="959484"/>
                        </a:xfrm>
                        <a:prstGeom prst="rect">
                          <a:avLst/>
                        </a:prstGeom>
                        <a:solidFill>
                          <a:srgbClr val="FFFFFF"/>
                        </a:solidFill>
                        <a:ln w="9525">
                          <a:noFill/>
                          <a:miter lim="800000"/>
                          <a:headEnd/>
                          <a:tailEnd/>
                        </a:ln>
                      </wps:spPr>
                      <wps:txbx>
                        <w:txbxContent>
                          <w:p w14:paraId="554210E2" w14:textId="77777777" w:rsidR="00CC6B2C" w:rsidRPr="00695A15" w:rsidRDefault="00CC6B2C" w:rsidP="00CC6B2C">
                            <w:pPr>
                              <w:rPr>
                                <w:rFonts w:ascii="Times New Roman" w:eastAsia="Times New Roman" w:hAnsi="Times New Roman" w:cs="Times New Roman"/>
                                <w:color w:val="001848"/>
                                <w:kern w:val="0"/>
                                <w:sz w:val="24"/>
                                <w:szCs w:val="24"/>
                                <w:lang w:val="en-AU"/>
                                <w14:ligatures w14:val="none"/>
                              </w:rPr>
                            </w:pPr>
                            <w:r w:rsidRPr="00695A15">
                              <w:rPr>
                                <w:rFonts w:ascii="Times New Roman" w:eastAsia="Times New Roman" w:hAnsi="Times New Roman" w:cs="Times New Roman"/>
                                <w:color w:val="001848"/>
                                <w:kern w:val="0"/>
                                <w:sz w:val="24"/>
                                <w:szCs w:val="24"/>
                                <w:lang w:val="en-AU"/>
                                <w14:ligatures w14:val="none"/>
                              </w:rPr>
                              <w:t>Al-Furat Journal of Innovations in Electronics and Computer Engineering (FJIECE)</w:t>
                            </w:r>
                          </w:p>
                          <w:p w14:paraId="628E8B29" w14:textId="77777777" w:rsidR="00CC6B2C" w:rsidRPr="00695A15" w:rsidRDefault="00CC6B2C" w:rsidP="00CC6B2C">
                            <w:pPr>
                              <w:rPr>
                                <w:rFonts w:ascii="Times New Roman" w:eastAsia="Times New Roman" w:hAnsi="Times New Roman" w:cs="Times New Roman"/>
                                <w:color w:val="001848"/>
                                <w:kern w:val="0"/>
                                <w:sz w:val="24"/>
                                <w:szCs w:val="24"/>
                                <w:lang w:val="en-AU"/>
                                <w14:ligatures w14:val="none"/>
                              </w:rPr>
                            </w:pPr>
                            <w:r w:rsidRPr="00695A15">
                              <w:rPr>
                                <w:rFonts w:ascii="Times New Roman" w:eastAsia="Times New Roman" w:hAnsi="Times New Roman" w:cs="Times New Roman"/>
                                <w:color w:val="001848"/>
                                <w:kern w:val="0"/>
                                <w:sz w:val="24"/>
                                <w:szCs w:val="24"/>
                                <w:lang w:val="en-AU"/>
                                <w14:ligatures w14:val="none"/>
                              </w:rPr>
                              <w:t>ISSN -2708-3985</w:t>
                            </w:r>
                          </w:p>
                        </w:txbxContent>
                      </wps:txbx>
                      <wps:bodyPr rot="0" vert="horz" wrap="square" lIns="91440" tIns="45720" rIns="91440" bIns="45720" anchor="t" anchorCtr="0">
                        <a:spAutoFit/>
                      </wps:bodyPr>
                    </wps:wsp>
                  </wpg:wgp>
                </a:graphicData>
              </a:graphic>
            </wp:anchor>
          </w:drawing>
        </mc:Choice>
        <mc:Fallback>
          <w:pict>
            <v:group w14:anchorId="72E37C6C" id="مجموعة 1" o:spid="_x0000_s1026" style="position:absolute;margin-left:-19.3pt;margin-top:-67.85pt;width:544.5pt;height:105.45pt;z-index:251660288" coordsize="69151,1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">
              <v:shapetype id="_x0000_t202" coordsize="21600,21600" o:spt="202" path="m,l,21600r21600,l21600,xe">
                <v:stroke joinstyle="miter"/>
                <v:path gradientshapeok="t" o:connecttype="rect"/>
              </v:shapetype>
              <v:shape id="Text Box 2" o:spid="_x0000_s1027" type="#_x0000_t202" style="position:absolute;left:55149;width:14002;height:1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1457E8D0" w14:textId="77777777" w:rsidR="00CC6B2C" w:rsidRDefault="00CC6B2C" w:rsidP="00CC6B2C">
                      <w:pPr>
                        <w:jc w:val="center"/>
                      </w:pPr>
                      <w:r>
                        <w:rPr>
                          <w:noProof/>
                        </w:rPr>
                        <w:drawing>
                          <wp:inline distT="0" distB="0" distL="0" distR="0" wp14:anchorId="751A9427" wp14:editId="17B2A4D7">
                            <wp:extent cx="1238250" cy="1190625"/>
                            <wp:effectExtent l="0" t="0" r="0" b="9525"/>
                            <wp:docPr id="3" name="صورة 3" descr="D:\Dr. Essam Al-Zaini\automative engineering books\Al-Furat Al-Awsat web sit\QS ranking\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r. Essam Al-Zaini\automative engineering books\Al-Furat Al-Awsat web sit\QS ranking\Untitled-1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571" cy="1191895"/>
                                    </a:xfrm>
                                    <a:prstGeom prst="rect">
                                      <a:avLst/>
                                    </a:prstGeom>
                                    <a:noFill/>
                                    <a:ln>
                                      <a:noFill/>
                                    </a:ln>
                                  </pic:spPr>
                                </pic:pic>
                              </a:graphicData>
                            </a:graphic>
                          </wp:inline>
                        </w:drawing>
                      </w:r>
                    </w:p>
                  </w:txbxContent>
                </v:textbox>
              </v:shape>
              <v:shape id="Text Box 2" o:spid="_x0000_s1028" type="#_x0000_t202" style="position:absolute;width:13246;height:1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3B6A8B92" w14:textId="77777777" w:rsidR="00CC6B2C" w:rsidRDefault="00CC6B2C" w:rsidP="00CC6B2C">
                      <w:r>
                        <w:rPr>
                          <w:noProof/>
                        </w:rPr>
                        <w:drawing>
                          <wp:inline distT="0" distB="0" distL="0" distR="0" wp14:anchorId="21D0E85F" wp14:editId="666F41F4">
                            <wp:extent cx="1057275" cy="1085850"/>
                            <wp:effectExtent l="0" t="0" r="9525" b="0"/>
                            <wp:docPr id="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8403" cy="1087009"/>
                                    </a:xfrm>
                                    <a:prstGeom prst="rect">
                                      <a:avLst/>
                                    </a:prstGeom>
                                    <a:noFill/>
                                    <a:ln>
                                      <a:noFill/>
                                    </a:ln>
                                  </pic:spPr>
                                </pic:pic>
                              </a:graphicData>
                            </a:graphic>
                          </wp:inline>
                        </w:drawing>
                      </w:r>
                    </w:p>
                  </w:txbxContent>
                </v:textbox>
              </v:shape>
              <v:shape id="Text Box 2" o:spid="_x0000_s1029" type="#_x0000_t202" style="position:absolute;left:14001;top:1711;width:41917;height:9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554210E2" w14:textId="77777777" w:rsidR="00CC6B2C" w:rsidRPr="00695A15" w:rsidRDefault="00CC6B2C" w:rsidP="00CC6B2C">
                      <w:pPr>
                        <w:rPr>
                          <w:rFonts w:ascii="Times New Roman" w:eastAsia="Times New Roman" w:hAnsi="Times New Roman" w:cs="Times New Roman"/>
                          <w:color w:val="001848"/>
                          <w:kern w:val="0"/>
                          <w:sz w:val="24"/>
                          <w:szCs w:val="24"/>
                          <w:lang w:val="en-AU"/>
                          <w14:ligatures w14:val="none"/>
                        </w:rPr>
                      </w:pPr>
                      <w:r w:rsidRPr="00695A15">
                        <w:rPr>
                          <w:rFonts w:ascii="Times New Roman" w:eastAsia="Times New Roman" w:hAnsi="Times New Roman" w:cs="Times New Roman"/>
                          <w:color w:val="001848"/>
                          <w:kern w:val="0"/>
                          <w:sz w:val="24"/>
                          <w:szCs w:val="24"/>
                          <w:lang w:val="en-AU"/>
                          <w14:ligatures w14:val="none"/>
                        </w:rPr>
                        <w:t>Al-Furat Journal of Innovations in Electronics and Computer Engineering (FJIECE)</w:t>
                      </w:r>
                    </w:p>
                    <w:p w14:paraId="628E8B29" w14:textId="77777777" w:rsidR="00CC6B2C" w:rsidRPr="00695A15" w:rsidRDefault="00CC6B2C" w:rsidP="00CC6B2C">
                      <w:pPr>
                        <w:rPr>
                          <w:rFonts w:ascii="Times New Roman" w:eastAsia="Times New Roman" w:hAnsi="Times New Roman" w:cs="Times New Roman"/>
                          <w:color w:val="001848"/>
                          <w:kern w:val="0"/>
                          <w:sz w:val="24"/>
                          <w:szCs w:val="24"/>
                          <w:lang w:val="en-AU"/>
                          <w14:ligatures w14:val="none"/>
                        </w:rPr>
                      </w:pPr>
                      <w:r w:rsidRPr="00695A15">
                        <w:rPr>
                          <w:rFonts w:ascii="Times New Roman" w:eastAsia="Times New Roman" w:hAnsi="Times New Roman" w:cs="Times New Roman"/>
                          <w:color w:val="001848"/>
                          <w:kern w:val="0"/>
                          <w:sz w:val="24"/>
                          <w:szCs w:val="24"/>
                          <w:lang w:val="en-AU"/>
                          <w14:ligatures w14:val="none"/>
                        </w:rPr>
                        <w:t>ISSN -2708-3985</w:t>
                      </w:r>
                    </w:p>
                  </w:txbxContent>
                </v:textbox>
              </v:shape>
            </v:group>
          </w:pict>
        </mc:Fallback>
      </mc:AlternateContent>
    </w:r>
    <w:r>
      <w:tab/>
    </w:r>
    <w:r>
      <w:tab/>
    </w:r>
    <w:r>
      <w:tab/>
    </w:r>
    <w:r>
      <w:rPr>
        <w:noProof/>
      </w:rPr>
      <mc:AlternateContent>
        <mc:Choice Requires="wps">
          <w:drawing>
            <wp:anchor distT="0" distB="0" distL="114300" distR="114300" simplePos="0" relativeHeight="251659264" behindDoc="0" locked="0" layoutInCell="1" allowOverlap="1" wp14:anchorId="743630E1" wp14:editId="5DFE13C9">
              <wp:simplePos x="0" y="0"/>
              <wp:positionH relativeFrom="column">
                <wp:posOffset>-140335</wp:posOffset>
              </wp:positionH>
              <wp:positionV relativeFrom="paragraph">
                <wp:posOffset>-383540</wp:posOffset>
              </wp:positionV>
              <wp:extent cx="1219200" cy="1403985"/>
              <wp:effectExtent l="0" t="0" r="0"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3985"/>
                      </a:xfrm>
                      <a:prstGeom prst="rect">
                        <a:avLst/>
                      </a:prstGeom>
                      <a:solidFill>
                        <a:srgbClr val="FFFFFF"/>
                      </a:solidFill>
                      <a:ln w="9525">
                        <a:noFill/>
                        <a:miter lim="800000"/>
                        <a:headEnd/>
                        <a:tailEnd/>
                      </a:ln>
                    </wps:spPr>
                    <wps:txbx>
                      <w:txbxContent>
                        <w:p w14:paraId="19BCFF66" w14:textId="77777777" w:rsidR="00CC6B2C" w:rsidRDefault="00CC6B2C" w:rsidP="00CC6B2C">
                          <w:pPr>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3630E1" id="مربع نص 2" o:spid="_x0000_s1030" type="#_x0000_t202" style="position:absolute;margin-left:-11.05pt;margin-top:-30.2pt;width:9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" stroked="f">
              <v:textbox style="mso-fit-shape-to-text:t">
                <w:txbxContent>
                  <w:p w14:paraId="19BCFF66" w14:textId="77777777" w:rsidR="00CC6B2C" w:rsidRDefault="00CC6B2C" w:rsidP="00CC6B2C">
                    <w:pPr>
                      <w:jc w:val="right"/>
                    </w:pPr>
                  </w:p>
                </w:txbxContent>
              </v:textbox>
            </v:shape>
          </w:pict>
        </mc:Fallback>
      </mc:AlternateContent>
    </w:r>
  </w:p>
  <w:tbl>
    <w:tblPr>
      <w:tblpPr w:leftFromText="187" w:rightFromText="187" w:vertAnchor="page" w:horzAnchor="page" w:tblpXSpec="right" w:tblpYSpec="bottom"/>
      <w:tblW w:w="281" w:type="pct"/>
      <w:tblLook w:val="04A0" w:firstRow="1" w:lastRow="0" w:firstColumn="1" w:lastColumn="0" w:noHBand="0" w:noVBand="1"/>
    </w:tblPr>
    <w:tblGrid>
      <w:gridCol w:w="594"/>
    </w:tblGrid>
    <w:tr w:rsidR="00695A15" w14:paraId="244A9F91" w14:textId="77777777" w:rsidTr="00FD5DBD">
      <w:trPr>
        <w:trHeight w:val="10166"/>
      </w:trPr>
      <w:tc>
        <w:tcPr>
          <w:tcW w:w="498" w:type="dxa"/>
          <w:tcBorders>
            <w:bottom w:val="single" w:sz="4" w:space="0" w:color="auto"/>
          </w:tcBorders>
          <w:textDirection w:val="btLr"/>
        </w:tcPr>
        <w:p w14:paraId="4D7F3615" w14:textId="0E2E0F70" w:rsidR="00695A15" w:rsidRPr="00090712" w:rsidRDefault="00695A15" w:rsidP="00695A15">
          <w:pPr>
            <w:pStyle w:val="Header"/>
            <w:ind w:left="113" w:right="113"/>
            <w:rPr>
              <w:rFonts w:ascii="Times New Roman" w:eastAsia="Times New Roman" w:hAnsi="Times New Roman" w:cs="Times New Roman"/>
              <w:color w:val="001848"/>
              <w:kern w:val="0"/>
              <w:sz w:val="24"/>
              <w:szCs w:val="24"/>
              <w:lang w:val="en-AU"/>
              <w14:ligatures w14:val="none"/>
            </w:rPr>
          </w:pPr>
          <w:proofErr w:type="spellStart"/>
          <w:r w:rsidRPr="00090712">
            <w:rPr>
              <w:rFonts w:ascii="Times New Roman" w:eastAsia="Times New Roman" w:hAnsi="Times New Roman" w:cs="Times New Roman"/>
              <w:color w:val="001848"/>
              <w:kern w:val="0"/>
              <w:sz w:val="24"/>
              <w:szCs w:val="24"/>
              <w:lang w:val="en-AU"/>
              <w14:ligatures w14:val="none"/>
            </w:rPr>
            <w:t>ATU</w:t>
          </w:r>
          <w:proofErr w:type="spellEnd"/>
          <w:r w:rsidRPr="00090712">
            <w:rPr>
              <w:rFonts w:ascii="Times New Roman" w:eastAsia="Times New Roman" w:hAnsi="Times New Roman" w:cs="Times New Roman"/>
              <w:color w:val="001848"/>
              <w:kern w:val="0"/>
              <w:sz w:val="24"/>
              <w:szCs w:val="24"/>
              <w:lang w:val="en-AU"/>
              <w14:ligatures w14:val="none"/>
            </w:rPr>
            <w:t xml:space="preserve">-FJIECE, Volume: </w:t>
          </w:r>
          <w:r w:rsidR="00090712">
            <w:rPr>
              <w:rFonts w:ascii="Times New Roman" w:eastAsia="Times New Roman" w:hAnsi="Times New Roman" w:cs="Times New Roman"/>
              <w:color w:val="001848"/>
              <w:kern w:val="0"/>
              <w:sz w:val="24"/>
              <w:szCs w:val="24"/>
              <w:lang w:val="en-AU"/>
              <w14:ligatures w14:val="none"/>
            </w:rPr>
            <w:t>4</w:t>
          </w:r>
          <w:r w:rsidRPr="00090712">
            <w:rPr>
              <w:rFonts w:ascii="Times New Roman" w:eastAsia="Times New Roman" w:hAnsi="Times New Roman" w:cs="Times New Roman"/>
              <w:color w:val="001848"/>
              <w:kern w:val="0"/>
              <w:sz w:val="24"/>
              <w:szCs w:val="24"/>
              <w:lang w:val="en-AU"/>
              <w14:ligatures w14:val="none"/>
            </w:rPr>
            <w:t xml:space="preserve">, Issue: </w:t>
          </w:r>
          <w:r w:rsidR="00090712">
            <w:rPr>
              <w:rFonts w:ascii="Times New Roman" w:eastAsia="Times New Roman" w:hAnsi="Times New Roman" w:cs="Times New Roman"/>
              <w:color w:val="001848"/>
              <w:kern w:val="0"/>
              <w:sz w:val="24"/>
              <w:szCs w:val="24"/>
              <w:lang w:val="en-AU"/>
              <w14:ligatures w14:val="none"/>
            </w:rPr>
            <w:t>2</w:t>
          </w:r>
          <w:r w:rsidR="00090712" w:rsidRPr="00090712">
            <w:rPr>
              <w:rFonts w:ascii="Times New Roman" w:eastAsia="Times New Roman" w:hAnsi="Times New Roman" w:cs="Times New Roman"/>
              <w:color w:val="001848"/>
              <w:kern w:val="0"/>
              <w:sz w:val="24"/>
              <w:szCs w:val="24"/>
              <w:lang w:val="en-AU"/>
              <w14:ligatures w14:val="none"/>
            </w:rPr>
            <w:t>, September</w:t>
          </w:r>
          <w:r w:rsidRPr="00090712">
            <w:rPr>
              <w:rFonts w:ascii="Times New Roman" w:eastAsia="Times New Roman" w:hAnsi="Times New Roman" w:cs="Times New Roman"/>
              <w:color w:val="001848"/>
              <w:kern w:val="0"/>
              <w:sz w:val="24"/>
              <w:szCs w:val="24"/>
              <w:lang w:val="en-AU"/>
              <w14:ligatures w14:val="none"/>
            </w:rPr>
            <w:t xml:space="preserve">, </w:t>
          </w:r>
          <w:r w:rsidR="00090712">
            <w:rPr>
              <w:rFonts w:ascii="Times New Roman" w:eastAsia="Times New Roman" w:hAnsi="Times New Roman" w:cs="Times New Roman"/>
              <w:color w:val="001848"/>
              <w:kern w:val="0"/>
              <w:sz w:val="24"/>
              <w:szCs w:val="24"/>
              <w:lang w:val="en-AU"/>
              <w14:ligatures w14:val="none"/>
            </w:rPr>
            <w:t>26</w:t>
          </w:r>
          <w:r w:rsidRPr="00090712">
            <w:rPr>
              <w:rFonts w:ascii="Times New Roman" w:eastAsia="Times New Roman" w:hAnsi="Times New Roman" w:cs="Times New Roman"/>
              <w:color w:val="001848"/>
              <w:kern w:val="0"/>
              <w:sz w:val="24"/>
              <w:szCs w:val="24"/>
              <w:lang w:val="en-AU"/>
              <w14:ligatures w14:val="none"/>
            </w:rPr>
            <w:t xml:space="preserve">, </w:t>
          </w:r>
          <w:r w:rsidR="00090712">
            <w:rPr>
              <w:rFonts w:ascii="Times New Roman" w:eastAsia="Times New Roman" w:hAnsi="Times New Roman" w:cs="Times New Roman"/>
              <w:color w:val="001848"/>
              <w:kern w:val="0"/>
              <w:sz w:val="24"/>
              <w:szCs w:val="24"/>
              <w:lang w:val="en-AU"/>
              <w14:ligatures w14:val="none"/>
            </w:rPr>
            <w:t>2025</w:t>
          </w:r>
          <w:r w:rsidRPr="00090712">
            <w:rPr>
              <w:rFonts w:ascii="Times New Roman" w:eastAsia="Times New Roman" w:hAnsi="Times New Roman" w:cs="Times New Roman"/>
              <w:color w:val="001848"/>
              <w:kern w:val="0"/>
              <w:sz w:val="24"/>
              <w:szCs w:val="24"/>
              <w:lang w:val="en-AU"/>
              <w14:ligatures w14:val="none"/>
            </w:rPr>
            <w:t xml:space="preserve">, © 2020 FJIECE, All Rights Reserved </w:t>
          </w:r>
        </w:p>
      </w:tc>
    </w:tr>
    <w:tr w:rsidR="00695A15" w14:paraId="4EE75D08" w14:textId="77777777" w:rsidTr="00FD5DBD">
      <w:tc>
        <w:tcPr>
          <w:tcW w:w="498" w:type="dxa"/>
          <w:tcBorders>
            <w:top w:val="single" w:sz="4" w:space="0" w:color="auto"/>
          </w:tcBorders>
        </w:tcPr>
        <w:p w14:paraId="5DD852A5" w14:textId="56058706" w:rsidR="00695A15" w:rsidRPr="007046A2" w:rsidRDefault="007046A2" w:rsidP="00695A15">
          <w:pPr>
            <w:pStyle w:val="Footer"/>
            <w:rPr>
              <w:rFonts w:asciiTheme="majorBidi" w:hAnsiTheme="majorBidi" w:cstheme="majorBidi"/>
              <w14:numForm w14:val="lining"/>
            </w:rPr>
          </w:pPr>
          <w:r w:rsidRPr="007046A2">
            <w:rPr>
              <w:rFonts w:asciiTheme="majorBidi" w:hAnsiTheme="majorBidi" w:cstheme="majorBidi"/>
              <w14:numForm w14:val="lining"/>
            </w:rPr>
            <w:fldChar w:fldCharType="begin"/>
          </w:r>
          <w:r w:rsidRPr="007046A2">
            <w:rPr>
              <w:rFonts w:asciiTheme="majorBidi" w:hAnsiTheme="majorBidi" w:cstheme="majorBidi"/>
              <w14:numForm w14:val="lining"/>
            </w:rPr>
            <w:instrText xml:space="preserve"> PAGE   \* MERGEFORMAT </w:instrText>
          </w:r>
          <w:r w:rsidRPr="007046A2">
            <w:rPr>
              <w:rFonts w:asciiTheme="majorBidi" w:hAnsiTheme="majorBidi" w:cstheme="majorBidi"/>
              <w14:numForm w14:val="lining"/>
            </w:rPr>
            <w:fldChar w:fldCharType="separate"/>
          </w:r>
          <w:r w:rsidRPr="007046A2">
            <w:rPr>
              <w:rFonts w:asciiTheme="majorBidi" w:hAnsiTheme="majorBidi" w:cstheme="majorBidi"/>
              <w:noProof/>
              <w14:numForm w14:val="lining"/>
            </w:rPr>
            <w:t>1</w:t>
          </w:r>
          <w:r w:rsidRPr="007046A2">
            <w:rPr>
              <w:rFonts w:asciiTheme="majorBidi" w:hAnsiTheme="majorBidi" w:cstheme="majorBidi"/>
              <w:noProof/>
              <w14:numForm w14:val="lining"/>
            </w:rPr>
            <w:fldChar w:fldCharType="end"/>
          </w:r>
        </w:p>
      </w:tc>
    </w:tr>
    <w:tr w:rsidR="00695A15" w14:paraId="2B31B400" w14:textId="77777777" w:rsidTr="00FD5DBD">
      <w:trPr>
        <w:trHeight w:val="768"/>
      </w:trPr>
      <w:tc>
        <w:tcPr>
          <w:tcW w:w="498" w:type="dxa"/>
        </w:tcPr>
        <w:p w14:paraId="1CE8D4A0" w14:textId="77777777" w:rsidR="00695A15" w:rsidRDefault="00695A15" w:rsidP="00695A15">
          <w:pPr>
            <w:pStyle w:val="Header"/>
          </w:pPr>
        </w:p>
      </w:tc>
    </w:tr>
  </w:tbl>
  <w:p w14:paraId="0720081A" w14:textId="77777777" w:rsidR="00CC6B2C" w:rsidRPr="001B5B6E" w:rsidRDefault="00CC6B2C" w:rsidP="00CC6B2C">
    <w:pPr>
      <w:pStyle w:val="Header"/>
      <w:jc w:val="center"/>
      <w:rPr>
        <w:i/>
        <w:iCs/>
      </w:rPr>
    </w:pPr>
    <w:r>
      <w:t xml:space="preserve">                          </w:t>
    </w:r>
    <w:r>
      <w:tab/>
    </w:r>
  </w:p>
  <w:p w14:paraId="69919B41" w14:textId="77777777" w:rsidR="00CC6B2C" w:rsidRPr="00CC6B2C" w:rsidRDefault="00CC6B2C" w:rsidP="00CC6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C2096"/>
    <w:multiLevelType w:val="hybridMultilevel"/>
    <w:tmpl w:val="5D4EF7DE"/>
    <w:lvl w:ilvl="0" w:tplc="68A61B5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1677C"/>
    <w:multiLevelType w:val="hybridMultilevel"/>
    <w:tmpl w:val="11508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C04B1"/>
    <w:multiLevelType w:val="hybridMultilevel"/>
    <w:tmpl w:val="468E08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5A1874"/>
    <w:multiLevelType w:val="hybridMultilevel"/>
    <w:tmpl w:val="997CB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B6CE0"/>
    <w:multiLevelType w:val="hybridMultilevel"/>
    <w:tmpl w:val="5E4A9A9E"/>
    <w:lvl w:ilvl="0" w:tplc="A18ABB5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049EB"/>
    <w:multiLevelType w:val="hybridMultilevel"/>
    <w:tmpl w:val="468E0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0468F"/>
    <w:multiLevelType w:val="multilevel"/>
    <w:tmpl w:val="9DE0016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C23011"/>
    <w:multiLevelType w:val="hybridMultilevel"/>
    <w:tmpl w:val="9148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ED4AFF"/>
    <w:multiLevelType w:val="hybridMultilevel"/>
    <w:tmpl w:val="8C2E2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774E29"/>
    <w:multiLevelType w:val="hybridMultilevel"/>
    <w:tmpl w:val="298C4836"/>
    <w:lvl w:ilvl="0" w:tplc="825C77F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332ABB"/>
    <w:multiLevelType w:val="multilevel"/>
    <w:tmpl w:val="6D26E29C"/>
    <w:lvl w:ilvl="0">
      <w:start w:val="1"/>
      <w:numFmt w:val="decimal"/>
      <w:pStyle w:val="Int"/>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10"/>
  </w:num>
  <w:num w:numId="2">
    <w:abstractNumId w:val="8"/>
  </w:num>
  <w:num w:numId="3">
    <w:abstractNumId w:val="1"/>
  </w:num>
  <w:num w:numId="4">
    <w:abstractNumId w:val="6"/>
  </w:num>
  <w:num w:numId="5">
    <w:abstractNumId w:val="4"/>
  </w:num>
  <w:num w:numId="6">
    <w:abstractNumId w:val="7"/>
  </w:num>
  <w:num w:numId="7">
    <w:abstractNumId w:val="0"/>
  </w:num>
  <w:num w:numId="8">
    <w:abstractNumId w:val="9"/>
  </w:num>
  <w:num w:numId="9">
    <w:abstractNumId w:val="5"/>
  </w:num>
  <w:num w:numId="10">
    <w:abstractNumId w:val="3"/>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4AE"/>
    <w:rsid w:val="000756DD"/>
    <w:rsid w:val="00090712"/>
    <w:rsid w:val="000B3F55"/>
    <w:rsid w:val="000E61E9"/>
    <w:rsid w:val="001251C3"/>
    <w:rsid w:val="001B5B6E"/>
    <w:rsid w:val="002112D8"/>
    <w:rsid w:val="002773F4"/>
    <w:rsid w:val="002C5621"/>
    <w:rsid w:val="00312F33"/>
    <w:rsid w:val="00332E0C"/>
    <w:rsid w:val="00392FD8"/>
    <w:rsid w:val="003F0259"/>
    <w:rsid w:val="004318EB"/>
    <w:rsid w:val="00471827"/>
    <w:rsid w:val="004A2D18"/>
    <w:rsid w:val="004B0228"/>
    <w:rsid w:val="004F2437"/>
    <w:rsid w:val="00521BB4"/>
    <w:rsid w:val="00524713"/>
    <w:rsid w:val="005715A7"/>
    <w:rsid w:val="005D0A74"/>
    <w:rsid w:val="005D1E1E"/>
    <w:rsid w:val="00695A15"/>
    <w:rsid w:val="007046A2"/>
    <w:rsid w:val="00731FAD"/>
    <w:rsid w:val="00826F9C"/>
    <w:rsid w:val="00830BF8"/>
    <w:rsid w:val="00A068D4"/>
    <w:rsid w:val="00A554FE"/>
    <w:rsid w:val="00A83FC0"/>
    <w:rsid w:val="00A85C9C"/>
    <w:rsid w:val="00AE6369"/>
    <w:rsid w:val="00B10BCC"/>
    <w:rsid w:val="00B5378E"/>
    <w:rsid w:val="00B56D56"/>
    <w:rsid w:val="00B65901"/>
    <w:rsid w:val="00B759DD"/>
    <w:rsid w:val="00B924AE"/>
    <w:rsid w:val="00B94EA9"/>
    <w:rsid w:val="00BE1938"/>
    <w:rsid w:val="00C739E9"/>
    <w:rsid w:val="00C82A16"/>
    <w:rsid w:val="00C85A4F"/>
    <w:rsid w:val="00CC3657"/>
    <w:rsid w:val="00CC6B2C"/>
    <w:rsid w:val="00CD6BF2"/>
    <w:rsid w:val="00CF384A"/>
    <w:rsid w:val="00D05FD8"/>
    <w:rsid w:val="00D0699E"/>
    <w:rsid w:val="00D2284C"/>
    <w:rsid w:val="00E03A16"/>
    <w:rsid w:val="00EB0E97"/>
    <w:rsid w:val="00F62964"/>
    <w:rsid w:val="00F84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107302"/>
  <w15:docId w15:val="{3A6721CA-F585-45E9-AD4C-9CF66E0A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712"/>
  </w:style>
  <w:style w:type="paragraph" w:styleId="Heading1">
    <w:name w:val="heading 1"/>
    <w:basedOn w:val="Normal"/>
    <w:next w:val="Normal"/>
    <w:link w:val="Heading1Char"/>
    <w:uiPriority w:val="9"/>
    <w:qFormat/>
    <w:rsid w:val="00E404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404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404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404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404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404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4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4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4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4F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404F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404F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404F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404F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404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4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4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4FE"/>
    <w:rPr>
      <w:rFonts w:eastAsiaTheme="majorEastAsia" w:cstheme="majorBidi"/>
      <w:color w:val="272727" w:themeColor="text1" w:themeTint="D8"/>
    </w:rPr>
  </w:style>
  <w:style w:type="paragraph" w:styleId="Title">
    <w:name w:val="Title"/>
    <w:basedOn w:val="Normal"/>
    <w:next w:val="Normal"/>
    <w:link w:val="TitleChar"/>
    <w:uiPriority w:val="10"/>
    <w:qFormat/>
    <w:rsid w:val="00E40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4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4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4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4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04FE"/>
    <w:rPr>
      <w:i/>
      <w:iCs/>
      <w:color w:val="404040" w:themeColor="text1" w:themeTint="BF"/>
    </w:rPr>
  </w:style>
  <w:style w:type="paragraph" w:styleId="ListParagraph">
    <w:name w:val="List Paragraph"/>
    <w:basedOn w:val="Normal"/>
    <w:link w:val="ListParagraphChar"/>
    <w:uiPriority w:val="34"/>
    <w:qFormat/>
    <w:rsid w:val="00E404FE"/>
    <w:pPr>
      <w:ind w:left="720"/>
      <w:contextualSpacing/>
    </w:pPr>
  </w:style>
  <w:style w:type="character" w:styleId="IntenseEmphasis">
    <w:name w:val="Intense Emphasis"/>
    <w:basedOn w:val="DefaultParagraphFont"/>
    <w:uiPriority w:val="21"/>
    <w:qFormat/>
    <w:rsid w:val="00E404FE"/>
    <w:rPr>
      <w:i/>
      <w:iCs/>
      <w:color w:val="365F91" w:themeColor="accent1" w:themeShade="BF"/>
    </w:rPr>
  </w:style>
  <w:style w:type="paragraph" w:styleId="IntenseQuote">
    <w:name w:val="Intense Quote"/>
    <w:basedOn w:val="Normal"/>
    <w:next w:val="Normal"/>
    <w:link w:val="IntenseQuoteChar"/>
    <w:uiPriority w:val="30"/>
    <w:qFormat/>
    <w:rsid w:val="00E404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404FE"/>
    <w:rPr>
      <w:i/>
      <w:iCs/>
      <w:color w:val="365F91" w:themeColor="accent1" w:themeShade="BF"/>
    </w:rPr>
  </w:style>
  <w:style w:type="character" w:styleId="IntenseReference">
    <w:name w:val="Intense Reference"/>
    <w:basedOn w:val="DefaultParagraphFont"/>
    <w:uiPriority w:val="32"/>
    <w:qFormat/>
    <w:rsid w:val="00E404FE"/>
    <w:rPr>
      <w:b/>
      <w:bCs/>
      <w:smallCaps/>
      <w:color w:val="365F91" w:themeColor="accent1" w:themeShade="BF"/>
      <w:spacing w:val="5"/>
    </w:rPr>
  </w:style>
  <w:style w:type="paragraph" w:customStyle="1" w:styleId="Int">
    <w:name w:val="Int"/>
    <w:basedOn w:val="ListParagraph"/>
    <w:link w:val="IntChar"/>
    <w:qFormat/>
    <w:rsid w:val="000F72B8"/>
    <w:pPr>
      <w:numPr>
        <w:numId w:val="1"/>
      </w:numPr>
      <w:spacing w:after="0"/>
      <w:jc w:val="both"/>
    </w:pPr>
    <w:rPr>
      <w:rFonts w:asciiTheme="majorBidi" w:hAnsiTheme="majorBidi" w:cstheme="majorBidi"/>
      <w:b/>
      <w:bCs/>
      <w:sz w:val="24"/>
      <w:szCs w:val="24"/>
    </w:rPr>
  </w:style>
  <w:style w:type="character" w:customStyle="1" w:styleId="ListParagraphChar">
    <w:name w:val="List Paragraph Char"/>
    <w:basedOn w:val="DefaultParagraphFont"/>
    <w:link w:val="ListParagraph"/>
    <w:uiPriority w:val="34"/>
    <w:rsid w:val="00A54F3C"/>
  </w:style>
  <w:style w:type="character" w:customStyle="1" w:styleId="IntChar">
    <w:name w:val="Int Char"/>
    <w:basedOn w:val="ListParagraphChar"/>
    <w:link w:val="Int"/>
    <w:rsid w:val="000F72B8"/>
    <w:rPr>
      <w:rFonts w:asciiTheme="majorBidi" w:hAnsiTheme="majorBidi" w:cstheme="majorBidi"/>
      <w:b/>
      <w:bCs/>
      <w:sz w:val="24"/>
      <w:szCs w:val="24"/>
    </w:rPr>
  </w:style>
  <w:style w:type="table" w:styleId="TableGrid">
    <w:name w:val="Table Grid"/>
    <w:basedOn w:val="TableNormal"/>
    <w:uiPriority w:val="59"/>
    <w:rsid w:val="00620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6203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20185"/>
    <w:pPr>
      <w:tabs>
        <w:tab w:val="center" w:pos="4320"/>
        <w:tab w:val="right" w:pos="8640"/>
      </w:tabs>
      <w:spacing w:after="0" w:line="240" w:lineRule="auto"/>
    </w:pPr>
  </w:style>
  <w:style w:type="character" w:customStyle="1" w:styleId="HeaderChar">
    <w:name w:val="Header Char"/>
    <w:basedOn w:val="DefaultParagraphFont"/>
    <w:link w:val="Header"/>
    <w:uiPriority w:val="99"/>
    <w:rsid w:val="00B20185"/>
  </w:style>
  <w:style w:type="paragraph" w:styleId="Footer">
    <w:name w:val="footer"/>
    <w:basedOn w:val="Normal"/>
    <w:link w:val="FooterChar"/>
    <w:uiPriority w:val="99"/>
    <w:unhideWhenUsed/>
    <w:rsid w:val="00B201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20185"/>
  </w:style>
  <w:style w:type="character" w:styleId="Hyperlink">
    <w:name w:val="Hyperlink"/>
    <w:basedOn w:val="DefaultParagraphFont"/>
    <w:uiPriority w:val="99"/>
    <w:unhideWhenUsed/>
    <w:rsid w:val="00153EC3"/>
    <w:rPr>
      <w:color w:val="0000FF" w:themeColor="hyperlink"/>
      <w:u w:val="single"/>
    </w:rPr>
  </w:style>
  <w:style w:type="character" w:customStyle="1" w:styleId="UnresolvedMention1">
    <w:name w:val="Unresolved Mention1"/>
    <w:basedOn w:val="DefaultParagraphFont"/>
    <w:uiPriority w:val="99"/>
    <w:semiHidden/>
    <w:unhideWhenUsed/>
    <w:rsid w:val="00670039"/>
    <w:rPr>
      <w:color w:val="605E5C"/>
      <w:shd w:val="clear" w:color="auto" w:fill="E1DFDD"/>
    </w:rPr>
  </w:style>
  <w:style w:type="paragraph" w:customStyle="1" w:styleId="22222">
    <w:name w:val="22222"/>
    <w:basedOn w:val="Normal"/>
    <w:link w:val="22222Char"/>
    <w:qFormat/>
    <w:rsid w:val="000F72B8"/>
    <w:pPr>
      <w:spacing w:after="240"/>
      <w:jc w:val="both"/>
    </w:pPr>
    <w:rPr>
      <w:rFonts w:asciiTheme="majorBidi" w:hAnsiTheme="majorBidi" w:cstheme="majorBidi"/>
      <w:i/>
      <w:iCs/>
      <w:sz w:val="24"/>
      <w:szCs w:val="24"/>
    </w:rPr>
  </w:style>
  <w:style w:type="character" w:customStyle="1" w:styleId="22222Char">
    <w:name w:val="22222 Char"/>
    <w:basedOn w:val="DefaultParagraphFont"/>
    <w:link w:val="22222"/>
    <w:rsid w:val="000F72B8"/>
    <w:rPr>
      <w:rFonts w:asciiTheme="majorBidi" w:hAnsiTheme="majorBidi" w:cstheme="majorBidi"/>
      <w:i/>
      <w:iCs/>
      <w:sz w:val="24"/>
      <w:szCs w:val="24"/>
    </w:rPr>
  </w:style>
  <w:style w:type="paragraph" w:customStyle="1" w:styleId="a">
    <w:name w:val="جدول"/>
    <w:basedOn w:val="Normal"/>
    <w:link w:val="Char"/>
    <w:qFormat/>
    <w:rsid w:val="000F72B8"/>
    <w:pPr>
      <w:spacing w:after="0"/>
      <w:jc w:val="center"/>
    </w:pPr>
    <w:rPr>
      <w:rFonts w:asciiTheme="majorBidi" w:hAnsiTheme="majorBidi" w:cstheme="majorBidi"/>
      <w:b/>
      <w:bCs/>
      <w:sz w:val="20"/>
      <w:szCs w:val="20"/>
    </w:rPr>
  </w:style>
  <w:style w:type="character" w:customStyle="1" w:styleId="Char">
    <w:name w:val="جدول Char"/>
    <w:basedOn w:val="DefaultParagraphFont"/>
    <w:link w:val="a"/>
    <w:rsid w:val="000F72B8"/>
    <w:rPr>
      <w:rFonts w:asciiTheme="majorBidi" w:hAnsiTheme="majorBidi" w:cstheme="majorBidi"/>
      <w:b/>
      <w:bCs/>
      <w:sz w:val="20"/>
      <w:szCs w:val="20"/>
    </w:rPr>
  </w:style>
  <w:style w:type="character" w:customStyle="1" w:styleId="1">
    <w:name w:val="إشارة لم يتم حلها1"/>
    <w:basedOn w:val="DefaultParagraphFont"/>
    <w:uiPriority w:val="99"/>
    <w:rsid w:val="00A83FC0"/>
    <w:rPr>
      <w:color w:val="605E5C"/>
      <w:shd w:val="clear" w:color="auto" w:fill="E1DFDD"/>
    </w:rPr>
  </w:style>
  <w:style w:type="character" w:styleId="UnresolvedMention">
    <w:name w:val="Unresolved Mention"/>
    <w:basedOn w:val="DefaultParagraphFont"/>
    <w:uiPriority w:val="99"/>
    <w:semiHidden/>
    <w:unhideWhenUsed/>
    <w:rsid w:val="00090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3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ha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46649/fjiece.v4.2.18a.26.9.202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411B3-0F90-488F-A70C-2019D095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3033</Words>
  <Characters>19052</Characters>
  <Application>Microsoft Office Word</Application>
  <DocSecurity>0</DocSecurity>
  <Lines>476</Lines>
  <Paragraphs>294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HTMA</dc:creator>
  <cp:lastModifiedBy>ELITEX21012G2</cp:lastModifiedBy>
  <cp:revision>7</cp:revision>
  <dcterms:created xsi:type="dcterms:W3CDTF">2025-11-15T18:55:00Z</dcterms:created>
  <dcterms:modified xsi:type="dcterms:W3CDTF">2025-11-17T06:30:00Z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f8812092-6fda-4288-a3bf-586b43ddd022</vt:lpwstr>
  </property>
</Properties>
</file>